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03B63" w14:textId="77777777" w:rsidR="00FB0BD3" w:rsidRPr="00FB0BD3" w:rsidRDefault="00FB0BD3" w:rsidP="00FB0BD3">
      <w:pPr>
        <w:jc w:val="center"/>
        <w:rPr>
          <w:rFonts w:ascii="GHEA Grapalat" w:hAnsi="GHEA Grapalat"/>
          <w:b/>
          <w:bCs/>
          <w:sz w:val="32"/>
          <w:szCs w:val="32"/>
        </w:rPr>
      </w:pPr>
      <w:r w:rsidRPr="00FB0BD3">
        <w:rPr>
          <w:rFonts w:ascii="GHEA Grapalat" w:hAnsi="GHEA Grapalat"/>
          <w:b/>
          <w:bCs/>
          <w:sz w:val="32"/>
          <w:szCs w:val="32"/>
        </w:rPr>
        <w:t>ՏԵԽՆԻԿԱԿԱՆ ԱՌԱՋԱԴՐԱՆՔ (ToR)</w:t>
      </w:r>
    </w:p>
    <w:p w14:paraId="0E930A94" w14:textId="1F6185A0" w:rsidR="00FB0BD3" w:rsidRPr="00FB0BD3" w:rsidRDefault="00FB0BD3" w:rsidP="00FB0BD3">
      <w:pPr>
        <w:jc w:val="center"/>
        <w:rPr>
          <w:rFonts w:ascii="GHEA Grapalat" w:hAnsi="GHEA Grapalat"/>
          <w:b/>
          <w:bCs/>
          <w:sz w:val="32"/>
          <w:szCs w:val="32"/>
        </w:rPr>
      </w:pPr>
      <w:r w:rsidRPr="00FB0BD3">
        <w:rPr>
          <w:rFonts w:ascii="GHEA Grapalat" w:hAnsi="GHEA Grapalat"/>
          <w:b/>
          <w:bCs/>
          <w:sz w:val="32"/>
          <w:szCs w:val="32"/>
        </w:rPr>
        <w:t xml:space="preserve">«ԱԿԲԱ ԲԱՆԿ» ԲԲԸ ԵՎ </w:t>
      </w:r>
      <w:r w:rsidR="00D51E2F">
        <w:rPr>
          <w:rFonts w:ascii="GHEA Grapalat" w:hAnsi="GHEA Grapalat"/>
          <w:b/>
          <w:bCs/>
          <w:sz w:val="32"/>
          <w:szCs w:val="32"/>
        </w:rPr>
        <w:t>Լիզինգ</w:t>
      </w:r>
      <w:r w:rsidRPr="00FB0BD3">
        <w:rPr>
          <w:rFonts w:ascii="GHEA Grapalat" w:hAnsi="GHEA Grapalat"/>
          <w:b/>
          <w:bCs/>
          <w:sz w:val="32"/>
          <w:szCs w:val="32"/>
        </w:rPr>
        <w:t xml:space="preserve"> ՎԿ ՓԲԸ 2026Թ. ԿԱՅՈՒՆ ԶԱՐԳԱՑՄԱՆ ՀԱՇՎԵՏՎՈՒԹՅԱՆ ՊԱՏՐԱՍՏՄԱՆ ԽՈՐՀՐԴԱՏՎԱԿԱՆ ԾԱՌԱՅՈՒԹՅՈՒՆՆԵՐԻ ՁԵՌՔԲԵՐՄԱՆ</w:t>
      </w:r>
    </w:p>
    <w:p w14:paraId="3A09796D" w14:textId="77777777" w:rsidR="00FB0BD3" w:rsidRPr="00FB0BD3" w:rsidRDefault="00FB0BD3" w:rsidP="00FB0BD3">
      <w:pPr>
        <w:rPr>
          <w:rFonts w:ascii="GHEA Grapalat" w:hAnsi="GHEA Grapalat"/>
          <w:b/>
          <w:bCs/>
          <w:sz w:val="28"/>
          <w:szCs w:val="28"/>
        </w:rPr>
      </w:pPr>
      <w:r w:rsidRPr="00FB0BD3">
        <w:rPr>
          <w:rFonts w:ascii="GHEA Grapalat" w:hAnsi="GHEA Grapalat"/>
          <w:b/>
          <w:bCs/>
          <w:sz w:val="28"/>
          <w:szCs w:val="28"/>
        </w:rPr>
        <w:t>1. Ծառայության նպատակը և ընդհանուր նկարագիրը</w:t>
      </w:r>
    </w:p>
    <w:p w14:paraId="18842424" w14:textId="35D20E44" w:rsidR="00FB0BD3" w:rsidRPr="00FB0BD3" w:rsidRDefault="00FB0BD3" w:rsidP="00FB0BD3">
      <w:pPr>
        <w:numPr>
          <w:ilvl w:val="0"/>
          <w:numId w:val="12"/>
        </w:numPr>
        <w:rPr>
          <w:rFonts w:ascii="GHEA Grapalat" w:hAnsi="GHEA Grapalat"/>
          <w:sz w:val="24"/>
          <w:szCs w:val="24"/>
        </w:rPr>
      </w:pPr>
      <w:r w:rsidRPr="00FB0BD3">
        <w:rPr>
          <w:rFonts w:ascii="GHEA Grapalat" w:hAnsi="GHEA Grapalat"/>
          <w:sz w:val="24"/>
          <w:szCs w:val="24"/>
        </w:rPr>
        <w:t>Առարկան.</w:t>
      </w:r>
      <w:r w:rsidR="00E45F75">
        <w:rPr>
          <w:rFonts w:ascii="GHEA Grapalat" w:hAnsi="GHEA Grapalat"/>
          <w:sz w:val="24"/>
          <w:szCs w:val="24"/>
        </w:rPr>
        <w:t xml:space="preserve"> </w:t>
      </w:r>
      <w:r w:rsidRPr="00FB0BD3">
        <w:rPr>
          <w:rFonts w:ascii="GHEA Grapalat" w:hAnsi="GHEA Grapalat"/>
          <w:sz w:val="24"/>
          <w:szCs w:val="24"/>
        </w:rPr>
        <w:t>«ԱԿԲԱ</w:t>
      </w:r>
      <w:r w:rsidR="00E45F75">
        <w:rPr>
          <w:rFonts w:ascii="GHEA Grapalat" w:hAnsi="GHEA Grapalat"/>
          <w:sz w:val="24"/>
          <w:szCs w:val="24"/>
        </w:rPr>
        <w:t xml:space="preserve"> </w:t>
      </w:r>
      <w:r w:rsidRPr="00FB0BD3">
        <w:rPr>
          <w:rFonts w:ascii="GHEA Grapalat" w:hAnsi="GHEA Grapalat"/>
          <w:sz w:val="24"/>
          <w:szCs w:val="24"/>
        </w:rPr>
        <w:t>ԲԱՆԿ»</w:t>
      </w:r>
      <w:r w:rsidR="00E45F75">
        <w:rPr>
          <w:rFonts w:ascii="GHEA Grapalat" w:hAnsi="GHEA Grapalat"/>
          <w:sz w:val="24"/>
          <w:szCs w:val="24"/>
        </w:rPr>
        <w:t xml:space="preserve"> </w:t>
      </w:r>
      <w:r w:rsidRPr="00FB0BD3">
        <w:rPr>
          <w:rFonts w:ascii="GHEA Grapalat" w:hAnsi="GHEA Grapalat"/>
          <w:sz w:val="24"/>
          <w:szCs w:val="24"/>
        </w:rPr>
        <w:t>ԲԲԸ-ի</w:t>
      </w:r>
      <w:r w:rsidR="00E45F75">
        <w:rPr>
          <w:rFonts w:ascii="GHEA Grapalat" w:hAnsi="GHEA Grapalat"/>
          <w:sz w:val="24"/>
          <w:szCs w:val="24"/>
        </w:rPr>
        <w:t xml:space="preserve"> </w:t>
      </w:r>
      <w:r w:rsidRPr="00FB0BD3">
        <w:rPr>
          <w:rFonts w:ascii="GHEA Grapalat" w:hAnsi="GHEA Grapalat"/>
          <w:sz w:val="24"/>
          <w:szCs w:val="24"/>
        </w:rPr>
        <w:t>և</w:t>
      </w:r>
      <w:r w:rsidR="00E45F75">
        <w:rPr>
          <w:rFonts w:ascii="GHEA Grapalat" w:hAnsi="GHEA Grapalat"/>
          <w:sz w:val="24"/>
          <w:szCs w:val="24"/>
        </w:rPr>
        <w:t xml:space="preserve"> </w:t>
      </w:r>
      <w:r w:rsidRPr="00FB0BD3">
        <w:rPr>
          <w:rFonts w:ascii="GHEA Grapalat" w:hAnsi="GHEA Grapalat"/>
          <w:sz w:val="24"/>
          <w:szCs w:val="24"/>
        </w:rPr>
        <w:t>նրա</w:t>
      </w:r>
      <w:r w:rsidR="00E45F75">
        <w:rPr>
          <w:rFonts w:ascii="GHEA Grapalat" w:hAnsi="GHEA Grapalat"/>
          <w:sz w:val="24"/>
          <w:szCs w:val="24"/>
        </w:rPr>
        <w:t xml:space="preserve"> </w:t>
      </w:r>
      <w:r w:rsidRPr="00FB0BD3">
        <w:rPr>
          <w:rFonts w:ascii="GHEA Grapalat" w:hAnsi="GHEA Grapalat"/>
          <w:sz w:val="24"/>
          <w:szCs w:val="24"/>
        </w:rPr>
        <w:t>դուստր</w:t>
      </w:r>
      <w:r w:rsidR="00E45F75">
        <w:rPr>
          <w:rFonts w:ascii="GHEA Grapalat" w:hAnsi="GHEA Grapalat"/>
          <w:sz w:val="24"/>
          <w:szCs w:val="24"/>
        </w:rPr>
        <w:t xml:space="preserve"> </w:t>
      </w:r>
      <w:r w:rsidRPr="00FB0BD3">
        <w:rPr>
          <w:rFonts w:ascii="GHEA Grapalat" w:hAnsi="GHEA Grapalat"/>
          <w:sz w:val="24"/>
          <w:szCs w:val="24"/>
        </w:rPr>
        <w:t>ընկերության՝</w:t>
      </w:r>
      <w:r w:rsidR="00E45F75">
        <w:rPr>
          <w:rFonts w:ascii="GHEA Grapalat" w:hAnsi="GHEA Grapalat"/>
          <w:sz w:val="24"/>
          <w:szCs w:val="24"/>
        </w:rPr>
        <w:t xml:space="preserve"> «ԱԿԲԱ ԼԻԶԻՆԳ» </w:t>
      </w:r>
      <w:r w:rsidRPr="00FB0BD3">
        <w:rPr>
          <w:rFonts w:ascii="GHEA Grapalat" w:hAnsi="GHEA Grapalat"/>
          <w:sz w:val="24"/>
          <w:szCs w:val="24"/>
        </w:rPr>
        <w:t>ՎԿ</w:t>
      </w:r>
      <w:r w:rsidR="00E45F75">
        <w:rPr>
          <w:rFonts w:ascii="GHEA Grapalat" w:hAnsi="GHEA Grapalat"/>
          <w:sz w:val="24"/>
          <w:szCs w:val="24"/>
        </w:rPr>
        <w:t xml:space="preserve"> </w:t>
      </w:r>
      <w:r w:rsidRPr="00FB0BD3">
        <w:rPr>
          <w:rFonts w:ascii="GHEA Grapalat" w:hAnsi="GHEA Grapalat"/>
          <w:sz w:val="24"/>
          <w:szCs w:val="24"/>
        </w:rPr>
        <w:t>ՓԲԸ-ի</w:t>
      </w:r>
      <w:r w:rsidR="00E45F75">
        <w:rPr>
          <w:rFonts w:ascii="GHEA Grapalat" w:hAnsi="GHEA Grapalat"/>
          <w:sz w:val="24"/>
          <w:szCs w:val="24"/>
        </w:rPr>
        <w:t xml:space="preserve"> </w:t>
      </w:r>
      <w:r w:rsidRPr="00FB0BD3">
        <w:rPr>
          <w:rFonts w:ascii="GHEA Grapalat" w:hAnsi="GHEA Grapalat"/>
          <w:sz w:val="24"/>
          <w:szCs w:val="24"/>
        </w:rPr>
        <w:t>(այսուհետ</w:t>
      </w:r>
      <w:r w:rsidR="00E45F75">
        <w:rPr>
          <w:rFonts w:ascii="GHEA Grapalat" w:hAnsi="GHEA Grapalat"/>
          <w:sz w:val="24"/>
          <w:szCs w:val="24"/>
        </w:rPr>
        <w:t xml:space="preserve"> </w:t>
      </w:r>
      <w:r w:rsidRPr="00FB0BD3">
        <w:rPr>
          <w:rFonts w:ascii="GHEA Grapalat" w:hAnsi="GHEA Grapalat"/>
          <w:sz w:val="24"/>
          <w:szCs w:val="24"/>
        </w:rPr>
        <w:t>միասին՝</w:t>
      </w:r>
      <w:r w:rsidR="00E45F75">
        <w:rPr>
          <w:rFonts w:ascii="GHEA Grapalat" w:hAnsi="GHEA Grapalat"/>
          <w:sz w:val="24"/>
          <w:szCs w:val="24"/>
        </w:rPr>
        <w:t xml:space="preserve"> </w:t>
      </w:r>
      <w:r w:rsidRPr="00FB0BD3">
        <w:rPr>
          <w:rFonts w:ascii="GHEA Grapalat" w:hAnsi="GHEA Grapalat"/>
          <w:sz w:val="24"/>
          <w:szCs w:val="24"/>
        </w:rPr>
        <w:t>Բանկ/Խումբ/Պատվիրատու)</w:t>
      </w:r>
      <w:r w:rsidR="00E347CC">
        <w:rPr>
          <w:rFonts w:ascii="GHEA Grapalat" w:hAnsi="GHEA Grapalat"/>
          <w:sz w:val="24"/>
          <w:szCs w:val="24"/>
        </w:rPr>
        <w:t xml:space="preserve"> </w:t>
      </w:r>
      <w:r w:rsidRPr="00FB0BD3">
        <w:rPr>
          <w:rFonts w:ascii="GHEA Grapalat" w:hAnsi="GHEA Grapalat"/>
          <w:sz w:val="24"/>
          <w:szCs w:val="24"/>
        </w:rPr>
        <w:t>ամբողջ</w:t>
      </w:r>
      <w:r w:rsidR="00E347CC">
        <w:rPr>
          <w:rFonts w:ascii="GHEA Grapalat" w:hAnsi="GHEA Grapalat"/>
          <w:sz w:val="24"/>
          <w:szCs w:val="24"/>
        </w:rPr>
        <w:t xml:space="preserve"> </w:t>
      </w:r>
      <w:r w:rsidRPr="00FB0BD3">
        <w:rPr>
          <w:rFonts w:ascii="GHEA Grapalat" w:hAnsi="GHEA Grapalat"/>
          <w:sz w:val="24"/>
          <w:szCs w:val="24"/>
        </w:rPr>
        <w:t>2026</w:t>
      </w:r>
      <w:r w:rsidR="00E347CC">
        <w:rPr>
          <w:rFonts w:ascii="GHEA Grapalat" w:hAnsi="GHEA Grapalat"/>
          <w:sz w:val="24"/>
          <w:szCs w:val="24"/>
        </w:rPr>
        <w:t xml:space="preserve"> </w:t>
      </w:r>
      <w:r w:rsidRPr="00FB0BD3">
        <w:rPr>
          <w:rFonts w:ascii="GHEA Grapalat" w:hAnsi="GHEA Grapalat"/>
          <w:sz w:val="24"/>
          <w:szCs w:val="24"/>
        </w:rPr>
        <w:t>թվականի</w:t>
      </w:r>
      <w:r w:rsidR="00E347CC">
        <w:rPr>
          <w:rFonts w:ascii="GHEA Grapalat" w:hAnsi="GHEA Grapalat"/>
          <w:sz w:val="24"/>
          <w:szCs w:val="24"/>
        </w:rPr>
        <w:t xml:space="preserve"> </w:t>
      </w:r>
      <w:r w:rsidRPr="00FB0BD3">
        <w:rPr>
          <w:rFonts w:ascii="GHEA Grapalat" w:hAnsi="GHEA Grapalat"/>
          <w:sz w:val="24"/>
          <w:szCs w:val="24"/>
        </w:rPr>
        <w:t>(01.01.2026թ. – 31.12.2026թ.)</w:t>
      </w:r>
      <w:r w:rsidR="00E347CC">
        <w:rPr>
          <w:rFonts w:ascii="GHEA Grapalat" w:hAnsi="GHEA Grapalat"/>
          <w:sz w:val="24"/>
          <w:szCs w:val="24"/>
        </w:rPr>
        <w:t xml:space="preserve"> </w:t>
      </w:r>
      <w:r w:rsidRPr="00FB0BD3">
        <w:rPr>
          <w:rFonts w:ascii="GHEA Grapalat" w:hAnsi="GHEA Grapalat"/>
          <w:sz w:val="24"/>
          <w:szCs w:val="24"/>
        </w:rPr>
        <w:t>գործունեությունն</w:t>
      </w:r>
      <w:r w:rsidR="00E347CC">
        <w:rPr>
          <w:rFonts w:ascii="GHEA Grapalat" w:hAnsi="GHEA Grapalat"/>
          <w:sz w:val="24"/>
          <w:szCs w:val="24"/>
        </w:rPr>
        <w:t xml:space="preserve"> </w:t>
      </w:r>
      <w:r w:rsidRPr="00FB0BD3">
        <w:rPr>
          <w:rFonts w:ascii="GHEA Grapalat" w:hAnsi="GHEA Grapalat"/>
          <w:sz w:val="24"/>
          <w:szCs w:val="24"/>
        </w:rPr>
        <w:t>ընդգրկող</w:t>
      </w:r>
      <w:r w:rsidR="00E347CC">
        <w:rPr>
          <w:rFonts w:ascii="GHEA Grapalat" w:hAnsi="GHEA Grapalat"/>
          <w:sz w:val="24"/>
          <w:szCs w:val="24"/>
        </w:rPr>
        <w:t xml:space="preserve"> </w:t>
      </w:r>
      <w:r w:rsidRPr="00FB0BD3">
        <w:rPr>
          <w:rFonts w:ascii="GHEA Grapalat" w:hAnsi="GHEA Grapalat"/>
          <w:sz w:val="24"/>
          <w:szCs w:val="24"/>
        </w:rPr>
        <w:t>Կայուն</w:t>
      </w:r>
      <w:r w:rsidR="00E347CC">
        <w:rPr>
          <w:rFonts w:ascii="GHEA Grapalat" w:hAnsi="GHEA Grapalat"/>
          <w:sz w:val="24"/>
          <w:szCs w:val="24"/>
        </w:rPr>
        <w:t xml:space="preserve"> </w:t>
      </w:r>
      <w:r w:rsidRPr="00FB0BD3">
        <w:rPr>
          <w:rFonts w:ascii="GHEA Grapalat" w:hAnsi="GHEA Grapalat"/>
          <w:sz w:val="24"/>
          <w:szCs w:val="24"/>
        </w:rPr>
        <w:t>զարգացման</w:t>
      </w:r>
      <w:r w:rsidR="00E347CC">
        <w:rPr>
          <w:rFonts w:ascii="GHEA Grapalat" w:hAnsi="GHEA Grapalat"/>
          <w:sz w:val="24"/>
          <w:szCs w:val="24"/>
        </w:rPr>
        <w:t xml:space="preserve"> </w:t>
      </w:r>
      <w:r w:rsidRPr="00FB0BD3">
        <w:rPr>
          <w:rFonts w:ascii="GHEA Grapalat" w:hAnsi="GHEA Grapalat"/>
          <w:sz w:val="24"/>
          <w:szCs w:val="24"/>
        </w:rPr>
        <w:t>տարեկան</w:t>
      </w:r>
      <w:r w:rsidR="00E347CC">
        <w:rPr>
          <w:rFonts w:ascii="GHEA Grapalat" w:hAnsi="GHEA Grapalat"/>
          <w:sz w:val="24"/>
          <w:szCs w:val="24"/>
        </w:rPr>
        <w:t xml:space="preserve"> </w:t>
      </w:r>
      <w:r w:rsidRPr="00FB0BD3">
        <w:rPr>
          <w:rFonts w:ascii="GHEA Grapalat" w:hAnsi="GHEA Grapalat"/>
          <w:sz w:val="24"/>
          <w:szCs w:val="24"/>
        </w:rPr>
        <w:t>հաշվետվության</w:t>
      </w:r>
      <w:r w:rsidR="00E347CC">
        <w:rPr>
          <w:rFonts w:ascii="GHEA Grapalat" w:hAnsi="GHEA Grapalat"/>
          <w:sz w:val="24"/>
          <w:szCs w:val="24"/>
        </w:rPr>
        <w:t xml:space="preserve"> </w:t>
      </w:r>
      <w:r w:rsidRPr="00FB0BD3">
        <w:rPr>
          <w:rFonts w:ascii="GHEA Grapalat" w:hAnsi="GHEA Grapalat"/>
          <w:sz w:val="24"/>
          <w:szCs w:val="24"/>
        </w:rPr>
        <w:t>կազմման,</w:t>
      </w:r>
      <w:r w:rsidR="00E347CC">
        <w:rPr>
          <w:rFonts w:ascii="GHEA Grapalat" w:hAnsi="GHEA Grapalat"/>
          <w:sz w:val="24"/>
          <w:szCs w:val="24"/>
        </w:rPr>
        <w:t xml:space="preserve"> </w:t>
      </w:r>
      <w:r w:rsidRPr="00FB0BD3">
        <w:rPr>
          <w:rFonts w:ascii="GHEA Grapalat" w:hAnsi="GHEA Grapalat"/>
          <w:sz w:val="24"/>
          <w:szCs w:val="24"/>
        </w:rPr>
        <w:t>համակարգման,</w:t>
      </w:r>
      <w:r w:rsidR="00E347CC">
        <w:rPr>
          <w:rFonts w:ascii="GHEA Grapalat" w:hAnsi="GHEA Grapalat"/>
          <w:sz w:val="24"/>
          <w:szCs w:val="24"/>
        </w:rPr>
        <w:t xml:space="preserve"> </w:t>
      </w:r>
      <w:r w:rsidRPr="00FB0BD3">
        <w:rPr>
          <w:rFonts w:ascii="GHEA Grapalat" w:hAnsi="GHEA Grapalat"/>
          <w:sz w:val="24"/>
          <w:szCs w:val="24"/>
        </w:rPr>
        <w:t>երկլեզու</w:t>
      </w:r>
      <w:r w:rsidR="00E347CC">
        <w:rPr>
          <w:rFonts w:ascii="GHEA Grapalat" w:hAnsi="GHEA Grapalat"/>
          <w:sz w:val="24"/>
          <w:szCs w:val="24"/>
        </w:rPr>
        <w:t xml:space="preserve"> </w:t>
      </w:r>
      <w:r w:rsidRPr="00FB0BD3">
        <w:rPr>
          <w:rFonts w:ascii="GHEA Grapalat" w:hAnsi="GHEA Grapalat"/>
          <w:sz w:val="24"/>
          <w:szCs w:val="24"/>
        </w:rPr>
        <w:t>(հայերեն</w:t>
      </w:r>
      <w:r w:rsidR="00E347CC">
        <w:rPr>
          <w:rFonts w:ascii="GHEA Grapalat" w:hAnsi="GHEA Grapalat"/>
          <w:sz w:val="24"/>
          <w:szCs w:val="24"/>
        </w:rPr>
        <w:t xml:space="preserve"> </w:t>
      </w:r>
      <w:r w:rsidRPr="00FB0BD3">
        <w:rPr>
          <w:rFonts w:ascii="GHEA Grapalat" w:hAnsi="GHEA Grapalat"/>
          <w:sz w:val="24"/>
          <w:szCs w:val="24"/>
        </w:rPr>
        <w:t>և</w:t>
      </w:r>
      <w:r w:rsidR="00E347CC">
        <w:rPr>
          <w:rFonts w:ascii="GHEA Grapalat" w:hAnsi="GHEA Grapalat"/>
          <w:sz w:val="24"/>
          <w:szCs w:val="24"/>
        </w:rPr>
        <w:t xml:space="preserve"> </w:t>
      </w:r>
      <w:r w:rsidRPr="00FB0BD3">
        <w:rPr>
          <w:rFonts w:ascii="GHEA Grapalat" w:hAnsi="GHEA Grapalat"/>
          <w:sz w:val="24"/>
          <w:szCs w:val="24"/>
        </w:rPr>
        <w:t>անգլերեն)</w:t>
      </w:r>
      <w:r w:rsidR="00E347CC">
        <w:rPr>
          <w:rFonts w:ascii="GHEA Grapalat" w:hAnsi="GHEA Grapalat"/>
          <w:sz w:val="24"/>
          <w:szCs w:val="24"/>
        </w:rPr>
        <w:t xml:space="preserve"> </w:t>
      </w:r>
      <w:r w:rsidRPr="00FB0BD3">
        <w:rPr>
          <w:rFonts w:ascii="GHEA Grapalat" w:hAnsi="GHEA Grapalat"/>
          <w:sz w:val="24"/>
          <w:szCs w:val="24"/>
        </w:rPr>
        <w:t>մշակման</w:t>
      </w:r>
      <w:r w:rsidR="00E347CC">
        <w:rPr>
          <w:rFonts w:ascii="GHEA Grapalat" w:hAnsi="GHEA Grapalat"/>
          <w:sz w:val="24"/>
          <w:szCs w:val="24"/>
        </w:rPr>
        <w:t xml:space="preserve"> </w:t>
      </w:r>
      <w:r w:rsidRPr="00FB0BD3">
        <w:rPr>
          <w:rFonts w:ascii="GHEA Grapalat" w:hAnsi="GHEA Grapalat"/>
          <w:sz w:val="24"/>
          <w:szCs w:val="24"/>
        </w:rPr>
        <w:t>և</w:t>
      </w:r>
      <w:r w:rsidR="00E347CC">
        <w:rPr>
          <w:rFonts w:ascii="GHEA Grapalat" w:hAnsi="GHEA Grapalat"/>
          <w:sz w:val="24"/>
          <w:szCs w:val="24"/>
        </w:rPr>
        <w:t xml:space="preserve"> </w:t>
      </w:r>
      <w:r w:rsidRPr="00FB0BD3">
        <w:rPr>
          <w:rFonts w:ascii="GHEA Grapalat" w:hAnsi="GHEA Grapalat"/>
          <w:sz w:val="24"/>
          <w:szCs w:val="24"/>
        </w:rPr>
        <w:t>վերջնականացման</w:t>
      </w:r>
      <w:r w:rsidR="00E347CC">
        <w:rPr>
          <w:rFonts w:ascii="GHEA Grapalat" w:hAnsi="GHEA Grapalat"/>
          <w:sz w:val="24"/>
          <w:szCs w:val="24"/>
        </w:rPr>
        <w:t xml:space="preserve"> </w:t>
      </w:r>
      <w:r w:rsidRPr="00FB0BD3">
        <w:rPr>
          <w:rFonts w:ascii="GHEA Grapalat" w:hAnsi="GHEA Grapalat"/>
          <w:sz w:val="24"/>
          <w:szCs w:val="24"/>
        </w:rPr>
        <w:t>խորհրդատվական</w:t>
      </w:r>
      <w:r w:rsidR="00E347CC">
        <w:rPr>
          <w:rFonts w:ascii="GHEA Grapalat" w:hAnsi="GHEA Grapalat"/>
          <w:sz w:val="24"/>
          <w:szCs w:val="24"/>
        </w:rPr>
        <w:t xml:space="preserve"> </w:t>
      </w:r>
      <w:r w:rsidRPr="00FB0BD3">
        <w:rPr>
          <w:rFonts w:ascii="GHEA Grapalat" w:hAnsi="GHEA Grapalat"/>
          <w:sz w:val="24"/>
          <w:szCs w:val="24"/>
        </w:rPr>
        <w:t>ծառայություններ</w:t>
      </w:r>
      <w:r w:rsidR="00E347CC">
        <w:rPr>
          <w:rFonts w:ascii="GHEA Grapalat" w:hAnsi="GHEA Grapalat"/>
          <w:sz w:val="24"/>
          <w:szCs w:val="24"/>
        </w:rPr>
        <w:t xml:space="preserve"> </w:t>
      </w:r>
      <w:r w:rsidRPr="00FB0BD3">
        <w:rPr>
          <w:rFonts w:ascii="GHEA Grapalat" w:hAnsi="GHEA Grapalat"/>
          <w:sz w:val="24"/>
          <w:szCs w:val="24"/>
        </w:rPr>
        <w:t>(այսուհետ՝</w:t>
      </w:r>
      <w:r w:rsidR="00E347CC">
        <w:rPr>
          <w:rFonts w:ascii="GHEA Grapalat" w:hAnsi="GHEA Grapalat"/>
          <w:sz w:val="24"/>
          <w:szCs w:val="24"/>
        </w:rPr>
        <w:t xml:space="preserve"> </w:t>
      </w:r>
      <w:r w:rsidRPr="00FB0BD3">
        <w:rPr>
          <w:rFonts w:ascii="GHEA Grapalat" w:hAnsi="GHEA Grapalat"/>
          <w:sz w:val="24"/>
          <w:szCs w:val="24"/>
        </w:rPr>
        <w:t>Ծառայություններ)։</w:t>
      </w:r>
    </w:p>
    <w:p w14:paraId="206B2EE1" w14:textId="4E42D306" w:rsidR="00FB0BD3" w:rsidRPr="00FB0BD3" w:rsidRDefault="00FB0BD3" w:rsidP="00FB0BD3">
      <w:pPr>
        <w:numPr>
          <w:ilvl w:val="0"/>
          <w:numId w:val="12"/>
        </w:numPr>
        <w:rPr>
          <w:rFonts w:ascii="GHEA Grapalat" w:hAnsi="GHEA Grapalat"/>
          <w:sz w:val="24"/>
          <w:szCs w:val="24"/>
        </w:rPr>
      </w:pPr>
      <w:r w:rsidRPr="00FB0BD3">
        <w:rPr>
          <w:rFonts w:ascii="GHEA Grapalat" w:hAnsi="GHEA Grapalat"/>
          <w:sz w:val="24"/>
          <w:szCs w:val="24"/>
        </w:rPr>
        <w:t xml:space="preserve">Հաշվետվության շրջանակը (Boundary). Հաշվետվությունը պետք է արտացոլի Խմբի համախմբված գործունեությունը՝ ներառելով թե՛ Բանկի, և թե՛ </w:t>
      </w:r>
      <w:r w:rsidR="00D51E2F">
        <w:rPr>
          <w:rFonts w:ascii="GHEA Grapalat" w:hAnsi="GHEA Grapalat"/>
          <w:sz w:val="24"/>
          <w:szCs w:val="24"/>
        </w:rPr>
        <w:t>Լիզինգ</w:t>
      </w:r>
      <w:r w:rsidRPr="00FB0BD3">
        <w:rPr>
          <w:rFonts w:ascii="GHEA Grapalat" w:hAnsi="GHEA Grapalat"/>
          <w:sz w:val="24"/>
          <w:szCs w:val="24"/>
        </w:rPr>
        <w:t>-ի տվյալները, ֆինանսական պրոդուկտները (կանաչ վարկեր, կանաչ լիզինգ և այլն) ու ESG ցուցանիշները։</w:t>
      </w:r>
    </w:p>
    <w:p w14:paraId="4AF23140" w14:textId="77777777" w:rsidR="00FB0BD3" w:rsidRPr="00FB0BD3" w:rsidRDefault="00FB0BD3" w:rsidP="00FB0BD3">
      <w:pPr>
        <w:numPr>
          <w:ilvl w:val="0"/>
          <w:numId w:val="12"/>
        </w:numPr>
        <w:rPr>
          <w:rFonts w:ascii="GHEA Grapalat" w:hAnsi="GHEA Grapalat"/>
          <w:sz w:val="24"/>
          <w:szCs w:val="24"/>
        </w:rPr>
      </w:pPr>
      <w:r w:rsidRPr="00FB0BD3">
        <w:rPr>
          <w:rFonts w:ascii="GHEA Grapalat" w:hAnsi="GHEA Grapalat"/>
          <w:sz w:val="24"/>
          <w:szCs w:val="24"/>
        </w:rPr>
        <w:t>Կիրառվող միջազգային չափանիշները.</w:t>
      </w:r>
    </w:p>
    <w:p w14:paraId="485830FA" w14:textId="77777777" w:rsidR="00FB0BD3" w:rsidRPr="00FB0BD3" w:rsidRDefault="00FB0BD3" w:rsidP="00FB0BD3">
      <w:pPr>
        <w:numPr>
          <w:ilvl w:val="1"/>
          <w:numId w:val="12"/>
        </w:numPr>
        <w:rPr>
          <w:rFonts w:ascii="GHEA Grapalat" w:hAnsi="GHEA Grapalat"/>
          <w:sz w:val="24"/>
          <w:szCs w:val="24"/>
        </w:rPr>
      </w:pPr>
      <w:r w:rsidRPr="00FB0BD3">
        <w:rPr>
          <w:rFonts w:ascii="GHEA Grapalat" w:hAnsi="GHEA Grapalat"/>
          <w:sz w:val="24"/>
          <w:szCs w:val="24"/>
        </w:rPr>
        <w:t>GRI Standards. Հաշվետվությունը պետք է պատրաստվի Գլոբալ հաշվետվությունների նախաձեռնության ստանդարտների հղմամբ («with reference to the GRI Standards»), ներառյալ համապատասխան ոլորտային ուղեցույցների կիրառելի դրույթները։</w:t>
      </w:r>
    </w:p>
    <w:p w14:paraId="7A5BC0A8" w14:textId="77777777" w:rsidR="00FB0BD3" w:rsidRPr="00FB0BD3" w:rsidRDefault="00FB0BD3" w:rsidP="00FB0BD3">
      <w:pPr>
        <w:numPr>
          <w:ilvl w:val="1"/>
          <w:numId w:val="12"/>
        </w:numPr>
        <w:rPr>
          <w:rFonts w:ascii="GHEA Grapalat" w:hAnsi="GHEA Grapalat"/>
          <w:sz w:val="24"/>
          <w:szCs w:val="24"/>
        </w:rPr>
      </w:pPr>
      <w:r w:rsidRPr="00FB0BD3">
        <w:rPr>
          <w:rFonts w:ascii="GHEA Grapalat" w:hAnsi="GHEA Grapalat"/>
          <w:sz w:val="24"/>
          <w:szCs w:val="24"/>
        </w:rPr>
        <w:t>SASB Standards. Հաշվետվության մեջ պետք է ինտեգրվեն Կայունության հաշվապահական ստանդարտների խորհրդի՝ SASB-ի «Կոմերցիոն բանկեր» (Commercial Banks) ոլորտային ստանդարտի բացահայտումներն ու չափորոշիչները (տվյալների անվտանգություն, ֆինանսական ներառականություն, ESG ինտեգրում վարկավորման և լիզինգային գործարքների մեջ, բիզնես էթիկա)։</w:t>
      </w:r>
    </w:p>
    <w:p w14:paraId="2CFAE511" w14:textId="77777777" w:rsidR="00FB0BD3" w:rsidRPr="00FB0BD3" w:rsidRDefault="00FB0BD3" w:rsidP="00FB0BD3">
      <w:pPr>
        <w:rPr>
          <w:rFonts w:ascii="GHEA Grapalat" w:hAnsi="GHEA Grapalat"/>
          <w:sz w:val="24"/>
          <w:szCs w:val="24"/>
        </w:rPr>
      </w:pPr>
      <w:r w:rsidRPr="00FB0BD3">
        <w:rPr>
          <w:rFonts w:ascii="GHEA Grapalat" w:hAnsi="GHEA Grapalat"/>
          <w:b/>
          <w:bCs/>
          <w:sz w:val="28"/>
          <w:szCs w:val="28"/>
        </w:rPr>
        <w:t>2. Հիմնական աշխատանքների շրջանակը (Պարտադիր ծառայություններ</w:t>
      </w:r>
      <w:r w:rsidRPr="00FB0BD3">
        <w:rPr>
          <w:rFonts w:ascii="GHEA Grapalat" w:hAnsi="GHEA Grapalat"/>
          <w:sz w:val="24"/>
          <w:szCs w:val="24"/>
        </w:rPr>
        <w:t>)</w:t>
      </w:r>
    </w:p>
    <w:p w14:paraId="303296B7"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Խորհրդատու ընկերությունը (Կատարողը) պարտավորվում է իրականացնել հետևյալ պարտադիր աշխատանքները.</w:t>
      </w:r>
    </w:p>
    <w:p w14:paraId="1FCCC6A5" w14:textId="77777777" w:rsidR="00FB0BD3" w:rsidRPr="00FB0BD3" w:rsidRDefault="00FB0BD3" w:rsidP="00FB0BD3">
      <w:pPr>
        <w:numPr>
          <w:ilvl w:val="0"/>
          <w:numId w:val="13"/>
        </w:numPr>
        <w:rPr>
          <w:rFonts w:ascii="GHEA Grapalat" w:hAnsi="GHEA Grapalat"/>
          <w:sz w:val="24"/>
          <w:szCs w:val="24"/>
        </w:rPr>
      </w:pPr>
      <w:r w:rsidRPr="00FB0BD3">
        <w:rPr>
          <w:rFonts w:ascii="GHEA Grapalat" w:hAnsi="GHEA Grapalat"/>
          <w:sz w:val="24"/>
          <w:szCs w:val="24"/>
        </w:rPr>
        <w:t>Տվյալների հավաքագրման գործիքակազմ և մեկնարկ.</w:t>
      </w:r>
    </w:p>
    <w:p w14:paraId="0DED6B75" w14:textId="2DA5C9AE" w:rsidR="00FB0BD3" w:rsidRPr="00FB0BD3" w:rsidRDefault="00FB0BD3" w:rsidP="00FB0BD3">
      <w:pPr>
        <w:numPr>
          <w:ilvl w:val="1"/>
          <w:numId w:val="13"/>
        </w:numPr>
        <w:rPr>
          <w:rFonts w:ascii="GHEA Grapalat" w:hAnsi="GHEA Grapalat"/>
          <w:sz w:val="24"/>
          <w:szCs w:val="24"/>
        </w:rPr>
      </w:pPr>
      <w:r w:rsidRPr="00FB0BD3">
        <w:rPr>
          <w:rFonts w:ascii="GHEA Grapalat" w:hAnsi="GHEA Grapalat"/>
          <w:sz w:val="24"/>
          <w:szCs w:val="24"/>
        </w:rPr>
        <w:t xml:space="preserve">Բանկի և </w:t>
      </w:r>
      <w:r w:rsidR="00D51E2F">
        <w:rPr>
          <w:rFonts w:ascii="GHEA Grapalat" w:hAnsi="GHEA Grapalat"/>
          <w:sz w:val="24"/>
          <w:szCs w:val="24"/>
        </w:rPr>
        <w:t>Լիզինգ</w:t>
      </w:r>
      <w:r w:rsidRPr="00FB0BD3">
        <w:rPr>
          <w:rFonts w:ascii="GHEA Grapalat" w:hAnsi="GHEA Grapalat"/>
          <w:sz w:val="24"/>
          <w:szCs w:val="24"/>
        </w:rPr>
        <w:t>-ի ներքին կառուցվածքին համապատասխանող տվյալների հավաքագրման ձևանմուշների (Data Collection Templates) կազմում՝ GRI և SASB չափորոշիչներին համահունչ։</w:t>
      </w:r>
    </w:p>
    <w:p w14:paraId="68400DDD" w14:textId="77777777" w:rsidR="00FB0BD3" w:rsidRPr="00FB0BD3" w:rsidRDefault="00FB0BD3" w:rsidP="00FB0BD3">
      <w:pPr>
        <w:numPr>
          <w:ilvl w:val="1"/>
          <w:numId w:val="13"/>
        </w:numPr>
        <w:rPr>
          <w:rFonts w:ascii="GHEA Grapalat" w:hAnsi="GHEA Grapalat"/>
          <w:sz w:val="24"/>
          <w:szCs w:val="24"/>
        </w:rPr>
      </w:pPr>
      <w:r w:rsidRPr="00FB0BD3">
        <w:rPr>
          <w:rFonts w:ascii="GHEA Grapalat" w:hAnsi="GHEA Grapalat"/>
          <w:sz w:val="24"/>
          <w:szCs w:val="24"/>
        </w:rPr>
        <w:t>Պատասխանատու ստորաբաժանումների համար հարցաշարերի տրամադրում և խորհրդատվական աջակցություն տվյալների լրացման ընթացքում։</w:t>
      </w:r>
    </w:p>
    <w:p w14:paraId="7C60D77C" w14:textId="77777777" w:rsidR="00FB0BD3" w:rsidRPr="00FB0BD3" w:rsidRDefault="00FB0BD3" w:rsidP="00FB0BD3">
      <w:pPr>
        <w:numPr>
          <w:ilvl w:val="0"/>
          <w:numId w:val="13"/>
        </w:numPr>
        <w:rPr>
          <w:rFonts w:ascii="GHEA Grapalat" w:hAnsi="GHEA Grapalat"/>
          <w:sz w:val="24"/>
          <w:szCs w:val="24"/>
        </w:rPr>
      </w:pPr>
      <w:r w:rsidRPr="00FB0BD3">
        <w:rPr>
          <w:rFonts w:ascii="GHEA Grapalat" w:hAnsi="GHEA Grapalat"/>
          <w:sz w:val="24"/>
          <w:szCs w:val="24"/>
        </w:rPr>
        <w:lastRenderedPageBreak/>
        <w:t>Տվյալների մշակում, վերլուծություն և արտանետումների վերիֆիկացիա.</w:t>
      </w:r>
    </w:p>
    <w:p w14:paraId="2A37A815" w14:textId="77777777" w:rsidR="00FB0BD3" w:rsidRPr="00FB0BD3" w:rsidRDefault="00FB0BD3" w:rsidP="00FB0BD3">
      <w:pPr>
        <w:numPr>
          <w:ilvl w:val="1"/>
          <w:numId w:val="13"/>
        </w:numPr>
        <w:rPr>
          <w:rFonts w:ascii="GHEA Grapalat" w:hAnsi="GHEA Grapalat"/>
          <w:sz w:val="24"/>
          <w:szCs w:val="24"/>
        </w:rPr>
      </w:pPr>
      <w:r w:rsidRPr="00FB0BD3">
        <w:rPr>
          <w:rFonts w:ascii="GHEA Grapalat" w:hAnsi="GHEA Grapalat"/>
          <w:sz w:val="24"/>
          <w:szCs w:val="24"/>
        </w:rPr>
        <w:t>Հավաքագրված բնապահպանական, սոցիալական և կորպորատիվ կառավարման (ESG) տվյալների համակարգում և ամբողջականության ստուգում (ինչպես առանձին, այնպես էլ համախմբված մակարդակով)։</w:t>
      </w:r>
    </w:p>
    <w:p w14:paraId="3438072B" w14:textId="143486BA" w:rsidR="00FB0BD3" w:rsidRPr="00FB0BD3" w:rsidRDefault="00FB0BD3" w:rsidP="00FB0BD3">
      <w:pPr>
        <w:numPr>
          <w:ilvl w:val="1"/>
          <w:numId w:val="13"/>
        </w:numPr>
        <w:rPr>
          <w:rFonts w:ascii="GHEA Grapalat" w:hAnsi="GHEA Grapalat"/>
          <w:sz w:val="24"/>
          <w:szCs w:val="24"/>
        </w:rPr>
      </w:pPr>
      <w:r w:rsidRPr="00FB0BD3">
        <w:rPr>
          <w:rFonts w:ascii="GHEA Grapalat" w:hAnsi="GHEA Grapalat"/>
          <w:sz w:val="24"/>
          <w:szCs w:val="24"/>
        </w:rPr>
        <w:t xml:space="preserve">Ջերմոցային գազերի արտանետումների վերիֆիկացիա (GHG Verification). Բանկի և </w:t>
      </w:r>
      <w:r w:rsidR="00D51E2F">
        <w:rPr>
          <w:rFonts w:ascii="GHEA Grapalat" w:hAnsi="GHEA Grapalat"/>
          <w:sz w:val="24"/>
          <w:szCs w:val="24"/>
        </w:rPr>
        <w:t>Լիզինգ</w:t>
      </w:r>
      <w:r w:rsidRPr="00FB0BD3">
        <w:rPr>
          <w:rFonts w:ascii="GHEA Grapalat" w:hAnsi="GHEA Grapalat"/>
          <w:sz w:val="24"/>
          <w:szCs w:val="24"/>
        </w:rPr>
        <w:t>-ի կողմից հաշվարկված Scope 1 և Scope 2 արտանետումների ելակետային տվյալների, հաշվարկման մեթոդաբանության և վերջնական ցուցանիշների մասնագիտական ստուգում, վերիֆիկացիա և վավերացում։</w:t>
      </w:r>
    </w:p>
    <w:p w14:paraId="6477D8C8" w14:textId="77777777" w:rsidR="00FB0BD3" w:rsidRPr="00FB0BD3" w:rsidRDefault="00FB0BD3" w:rsidP="00FB0BD3">
      <w:pPr>
        <w:numPr>
          <w:ilvl w:val="1"/>
          <w:numId w:val="13"/>
        </w:numPr>
        <w:rPr>
          <w:rFonts w:ascii="GHEA Grapalat" w:hAnsi="GHEA Grapalat"/>
          <w:sz w:val="24"/>
          <w:szCs w:val="24"/>
        </w:rPr>
      </w:pPr>
      <w:r w:rsidRPr="00FB0BD3">
        <w:rPr>
          <w:rFonts w:ascii="GHEA Grapalat" w:hAnsi="GHEA Grapalat"/>
          <w:sz w:val="24"/>
          <w:szCs w:val="24"/>
        </w:rPr>
        <w:t>SASB «Commercial Banks» ստանդարտի քանակական և որակական ցուցանիշների համադրում և ինտեգրում։</w:t>
      </w:r>
    </w:p>
    <w:p w14:paraId="64C45A87" w14:textId="77777777" w:rsidR="00FB0BD3" w:rsidRPr="00FB0BD3" w:rsidRDefault="00FB0BD3" w:rsidP="00FB0BD3">
      <w:pPr>
        <w:numPr>
          <w:ilvl w:val="0"/>
          <w:numId w:val="13"/>
        </w:numPr>
        <w:rPr>
          <w:rFonts w:ascii="GHEA Grapalat" w:hAnsi="GHEA Grapalat"/>
          <w:sz w:val="24"/>
          <w:szCs w:val="24"/>
        </w:rPr>
      </w:pPr>
      <w:r w:rsidRPr="00FB0BD3">
        <w:rPr>
          <w:rFonts w:ascii="GHEA Grapalat" w:hAnsi="GHEA Grapalat"/>
          <w:sz w:val="24"/>
          <w:szCs w:val="24"/>
        </w:rPr>
        <w:t>Հաշվետվության երկլեզու տեքստի մշակում և խմբագրում.</w:t>
      </w:r>
    </w:p>
    <w:p w14:paraId="5BD1E022" w14:textId="0DDB387B" w:rsidR="00FB0BD3" w:rsidRPr="00FB0BD3" w:rsidRDefault="00FB0BD3" w:rsidP="00FB0BD3">
      <w:pPr>
        <w:numPr>
          <w:ilvl w:val="1"/>
          <w:numId w:val="13"/>
        </w:numPr>
        <w:rPr>
          <w:rFonts w:ascii="GHEA Grapalat" w:hAnsi="GHEA Grapalat"/>
          <w:sz w:val="24"/>
          <w:szCs w:val="24"/>
        </w:rPr>
      </w:pPr>
      <w:r w:rsidRPr="00FB0BD3">
        <w:rPr>
          <w:rFonts w:ascii="GHEA Grapalat" w:hAnsi="GHEA Grapalat"/>
          <w:sz w:val="24"/>
          <w:szCs w:val="24"/>
        </w:rPr>
        <w:t xml:space="preserve">Հաշվետվության հայեցակարգային կառուցվածքի, պատմողական (narrative / story-telling) մասի և տեքստի ամբողջական մշակում երկու լեզուներով՝ հայերեն և անգլերեն՝ պատշաճ կերպով լուսաբանելով Բանկի և </w:t>
      </w:r>
      <w:r w:rsidR="00D51E2F">
        <w:rPr>
          <w:rFonts w:ascii="GHEA Grapalat" w:hAnsi="GHEA Grapalat"/>
          <w:sz w:val="24"/>
          <w:szCs w:val="24"/>
        </w:rPr>
        <w:t>Լիզինգ</w:t>
      </w:r>
      <w:r w:rsidRPr="00FB0BD3">
        <w:rPr>
          <w:rFonts w:ascii="GHEA Grapalat" w:hAnsi="GHEA Grapalat"/>
          <w:sz w:val="24"/>
          <w:szCs w:val="24"/>
        </w:rPr>
        <w:t>-ի փոխլրացնող դերն ու համատեղ ESG ազդեցությունը։</w:t>
      </w:r>
    </w:p>
    <w:p w14:paraId="1D905231" w14:textId="77777777" w:rsidR="00FB0BD3" w:rsidRPr="00FB0BD3" w:rsidRDefault="00FB0BD3" w:rsidP="00FB0BD3">
      <w:pPr>
        <w:numPr>
          <w:ilvl w:val="1"/>
          <w:numId w:val="13"/>
        </w:numPr>
        <w:rPr>
          <w:rFonts w:ascii="GHEA Grapalat" w:hAnsi="GHEA Grapalat"/>
          <w:sz w:val="24"/>
          <w:szCs w:val="24"/>
        </w:rPr>
      </w:pPr>
      <w:r w:rsidRPr="00FB0BD3">
        <w:rPr>
          <w:rFonts w:ascii="GHEA Grapalat" w:hAnsi="GHEA Grapalat"/>
          <w:sz w:val="24"/>
          <w:szCs w:val="24"/>
        </w:rPr>
        <w:t>Ֆինանսաբանկային, լիզինգային և ESG տերմինաբանության պահպանում, պրոֆեսիոնալ լեզվական և ոճական սրբագրում (proofreading) երկու տարբերակների համար։</w:t>
      </w:r>
    </w:p>
    <w:p w14:paraId="44ADF379" w14:textId="77777777" w:rsidR="00FB0BD3" w:rsidRPr="00FB0BD3" w:rsidRDefault="00FB0BD3" w:rsidP="00FB0BD3">
      <w:pPr>
        <w:numPr>
          <w:ilvl w:val="1"/>
          <w:numId w:val="13"/>
        </w:numPr>
        <w:rPr>
          <w:rFonts w:ascii="GHEA Grapalat" w:hAnsi="GHEA Grapalat"/>
          <w:sz w:val="24"/>
          <w:szCs w:val="24"/>
        </w:rPr>
      </w:pPr>
      <w:r w:rsidRPr="00FB0BD3">
        <w:rPr>
          <w:rFonts w:ascii="GHEA Grapalat" w:hAnsi="GHEA Grapalat"/>
          <w:sz w:val="24"/>
          <w:szCs w:val="24"/>
        </w:rPr>
        <w:t>GRI Content Index-ի և SASB Index-ի (համապատասխանության աղյուսակների) կազմում՝ հստակ հղումներով (հայերեն և անգլերեն)։</w:t>
      </w:r>
    </w:p>
    <w:p w14:paraId="60624258" w14:textId="77777777" w:rsidR="00FB0BD3" w:rsidRPr="00FB0BD3" w:rsidRDefault="00FB0BD3" w:rsidP="00FB0BD3">
      <w:pPr>
        <w:rPr>
          <w:rFonts w:ascii="GHEA Grapalat" w:hAnsi="GHEA Grapalat"/>
          <w:b/>
          <w:bCs/>
          <w:sz w:val="28"/>
          <w:szCs w:val="28"/>
        </w:rPr>
      </w:pPr>
      <w:r w:rsidRPr="00FB0BD3">
        <w:rPr>
          <w:rFonts w:ascii="GHEA Grapalat" w:hAnsi="GHEA Grapalat"/>
          <w:b/>
          <w:bCs/>
          <w:sz w:val="28"/>
          <w:szCs w:val="28"/>
        </w:rPr>
        <w:t>3. ՀԱՏՈՒԿ ՊԱՅՄԱՆ (ՍԱՀՄԱՆԱՓԱԿՈՒՄ)</w:t>
      </w:r>
    </w:p>
    <w:p w14:paraId="34981E8F"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Սույն առաջադրանքի շրջանակում Շահակից կողմերի ներգրավման և Էականության գնահատման (Stakeholder Engagement &amp; Materiality Assessment) իրականացում Կատարողից ՉԻ ՊԱՀԱՆՋՎՈՒՄ։ Խմբի էական թեմաների ցանկն ու առաջնահերթություններն արդեն իսկ գնահատված են Բանկի կողմից և պատրաստի տեսքով կտրամադրվեն Կատարողին նախնական տեղեկատվության հետ միասին։</w:t>
      </w:r>
    </w:p>
    <w:p w14:paraId="4AD91FB4" w14:textId="77777777" w:rsidR="00FB0BD3" w:rsidRPr="00FB0BD3" w:rsidRDefault="00FB0BD3" w:rsidP="00FB0BD3">
      <w:pPr>
        <w:rPr>
          <w:rFonts w:ascii="GHEA Grapalat" w:hAnsi="GHEA Grapalat"/>
          <w:b/>
          <w:bCs/>
          <w:sz w:val="28"/>
          <w:szCs w:val="28"/>
        </w:rPr>
      </w:pPr>
      <w:r w:rsidRPr="00FB0BD3">
        <w:rPr>
          <w:rFonts w:ascii="GHEA Grapalat" w:hAnsi="GHEA Grapalat"/>
          <w:b/>
          <w:bCs/>
          <w:sz w:val="28"/>
          <w:szCs w:val="28"/>
        </w:rPr>
        <w:t>4. Հավելյալ ծառայություններ (Ոչ պարտադիր / Ըստ Պատվիրատուի պահանջի)</w:t>
      </w:r>
    </w:p>
    <w:p w14:paraId="06A2085F"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Մասնակիցը ֆինանսական առաջարկում կարող է առանձին տողով ներկայացնել հետևյալ ծառայության արժեքը, որը Բանկը կարող է ներառել պայմանագրում՝ ըստ անհրաժեշտության.</w:t>
      </w:r>
    </w:p>
    <w:p w14:paraId="1127DF09" w14:textId="77777777" w:rsidR="00FB0BD3" w:rsidRPr="00FB0BD3" w:rsidRDefault="00FB0BD3" w:rsidP="00FB0BD3">
      <w:pPr>
        <w:numPr>
          <w:ilvl w:val="0"/>
          <w:numId w:val="14"/>
        </w:numPr>
        <w:rPr>
          <w:rFonts w:ascii="GHEA Grapalat" w:hAnsi="GHEA Grapalat"/>
          <w:sz w:val="24"/>
          <w:szCs w:val="24"/>
        </w:rPr>
      </w:pPr>
      <w:r w:rsidRPr="00FB0BD3">
        <w:rPr>
          <w:rFonts w:ascii="GHEA Grapalat" w:hAnsi="GHEA Grapalat"/>
          <w:sz w:val="24"/>
          <w:szCs w:val="24"/>
        </w:rPr>
        <w:t>Գրաֆիկական դիզայն և էջադրում.</w:t>
      </w:r>
      <w:r w:rsidRPr="00FB0BD3">
        <w:rPr>
          <w:rFonts w:ascii="GHEA Grapalat" w:hAnsi="GHEA Grapalat"/>
          <w:sz w:val="24"/>
          <w:szCs w:val="24"/>
        </w:rPr>
        <w:br/>
        <w:t>Հաշվետվության հայերեն և անգլերեն տարբերակների ամբողջական գրաֆիկական ձևավորում, էջադրում, ինֆոգրաֆիկաների և դիագրամների ստեղծում՝ Բանկի բրենդբուքին համապատասխան (ներառյալ տպագրական և թվային/ինտերակտիվ PDF ֆորմատների պատրաստում):</w:t>
      </w:r>
    </w:p>
    <w:p w14:paraId="41A40A6D" w14:textId="77777777" w:rsidR="00FB0BD3" w:rsidRPr="00FB0BD3" w:rsidRDefault="00FB0BD3" w:rsidP="00FB0BD3">
      <w:pPr>
        <w:rPr>
          <w:rFonts w:ascii="GHEA Grapalat" w:hAnsi="GHEA Grapalat"/>
          <w:b/>
          <w:bCs/>
          <w:sz w:val="28"/>
          <w:szCs w:val="28"/>
        </w:rPr>
      </w:pPr>
      <w:r w:rsidRPr="00FB0BD3">
        <w:rPr>
          <w:rFonts w:ascii="GHEA Grapalat" w:hAnsi="GHEA Grapalat"/>
          <w:b/>
          <w:bCs/>
          <w:sz w:val="28"/>
          <w:szCs w:val="28"/>
        </w:rPr>
        <w:lastRenderedPageBreak/>
        <w:t>5. Ակնկալվող վերջնարդյունքները</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1"/>
        <w:gridCol w:w="1651"/>
        <w:gridCol w:w="2832"/>
        <w:gridCol w:w="6016"/>
      </w:tblGrid>
      <w:tr w:rsidR="00FB0BD3" w:rsidRPr="00FB0BD3" w14:paraId="3C443E79" w14:textId="77777777" w:rsidTr="00FB0BD3">
        <w:trPr>
          <w:tblCellSpacing w:w="15" w:type="dxa"/>
        </w:trPr>
        <w:tc>
          <w:tcPr>
            <w:tcW w:w="0" w:type="auto"/>
            <w:vAlign w:val="center"/>
            <w:hideMark/>
          </w:tcPr>
          <w:p w14:paraId="4D30CD3D"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N</w:t>
            </w:r>
          </w:p>
        </w:tc>
        <w:tc>
          <w:tcPr>
            <w:tcW w:w="0" w:type="auto"/>
            <w:vAlign w:val="center"/>
            <w:hideMark/>
          </w:tcPr>
          <w:p w14:paraId="643E8E9A"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Կարգավիճակ</w:t>
            </w:r>
          </w:p>
        </w:tc>
        <w:tc>
          <w:tcPr>
            <w:tcW w:w="0" w:type="auto"/>
            <w:vAlign w:val="center"/>
            <w:hideMark/>
          </w:tcPr>
          <w:p w14:paraId="4EF183EF"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Վերջնարդյունք</w:t>
            </w:r>
          </w:p>
        </w:tc>
        <w:tc>
          <w:tcPr>
            <w:tcW w:w="0" w:type="auto"/>
            <w:vAlign w:val="center"/>
            <w:hideMark/>
          </w:tcPr>
          <w:p w14:paraId="225F476F"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Նկարագրություն</w:t>
            </w:r>
          </w:p>
        </w:tc>
      </w:tr>
      <w:tr w:rsidR="00FB0BD3" w:rsidRPr="00FB0BD3" w14:paraId="070A74BF" w14:textId="77777777" w:rsidTr="00FB0BD3">
        <w:trPr>
          <w:tblCellSpacing w:w="15" w:type="dxa"/>
        </w:trPr>
        <w:tc>
          <w:tcPr>
            <w:tcW w:w="0" w:type="auto"/>
            <w:vAlign w:val="center"/>
            <w:hideMark/>
          </w:tcPr>
          <w:p w14:paraId="211D76EF"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D1</w:t>
            </w:r>
          </w:p>
        </w:tc>
        <w:tc>
          <w:tcPr>
            <w:tcW w:w="0" w:type="auto"/>
            <w:vAlign w:val="center"/>
            <w:hideMark/>
          </w:tcPr>
          <w:p w14:paraId="0268738A"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Պարտադիր</w:t>
            </w:r>
          </w:p>
        </w:tc>
        <w:tc>
          <w:tcPr>
            <w:tcW w:w="0" w:type="auto"/>
            <w:vAlign w:val="center"/>
            <w:hideMark/>
          </w:tcPr>
          <w:p w14:paraId="7C2517E5"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Տվյալների հավաքագրման փաթեթ</w:t>
            </w:r>
          </w:p>
        </w:tc>
        <w:tc>
          <w:tcPr>
            <w:tcW w:w="0" w:type="auto"/>
            <w:vAlign w:val="center"/>
            <w:hideMark/>
          </w:tcPr>
          <w:p w14:paraId="3612B730" w14:textId="164FA3C9" w:rsidR="00FB0BD3" w:rsidRPr="00FB0BD3" w:rsidRDefault="00FB0BD3" w:rsidP="00FB0BD3">
            <w:pPr>
              <w:rPr>
                <w:rFonts w:ascii="GHEA Grapalat" w:hAnsi="GHEA Grapalat"/>
                <w:sz w:val="24"/>
                <w:szCs w:val="24"/>
              </w:rPr>
            </w:pPr>
            <w:r w:rsidRPr="00FB0BD3">
              <w:rPr>
                <w:rFonts w:ascii="GHEA Grapalat" w:hAnsi="GHEA Grapalat"/>
                <w:sz w:val="24"/>
                <w:szCs w:val="24"/>
              </w:rPr>
              <w:t xml:space="preserve">Բանկի և </w:t>
            </w:r>
            <w:r w:rsidR="00D51E2F">
              <w:rPr>
                <w:rFonts w:ascii="GHEA Grapalat" w:hAnsi="GHEA Grapalat"/>
                <w:sz w:val="24"/>
                <w:szCs w:val="24"/>
              </w:rPr>
              <w:t>Լիզինգ</w:t>
            </w:r>
            <w:r w:rsidRPr="00FB0BD3">
              <w:rPr>
                <w:rFonts w:ascii="GHEA Grapalat" w:hAnsi="GHEA Grapalat"/>
                <w:sz w:val="24"/>
                <w:szCs w:val="24"/>
              </w:rPr>
              <w:t>-ի ստորաբաժանումների համար հարմարեցված տվյալների հավաքագրման աղյուսակներ (Excel)</w:t>
            </w:r>
          </w:p>
        </w:tc>
      </w:tr>
      <w:tr w:rsidR="00FB0BD3" w:rsidRPr="00FB0BD3" w14:paraId="3A7F40A1" w14:textId="77777777" w:rsidTr="00FB0BD3">
        <w:trPr>
          <w:tblCellSpacing w:w="15" w:type="dxa"/>
        </w:trPr>
        <w:tc>
          <w:tcPr>
            <w:tcW w:w="0" w:type="auto"/>
            <w:vAlign w:val="center"/>
            <w:hideMark/>
          </w:tcPr>
          <w:p w14:paraId="372D81BA"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D2</w:t>
            </w:r>
          </w:p>
        </w:tc>
        <w:tc>
          <w:tcPr>
            <w:tcW w:w="0" w:type="auto"/>
            <w:vAlign w:val="center"/>
            <w:hideMark/>
          </w:tcPr>
          <w:p w14:paraId="67D69B34"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Պարտադիր</w:t>
            </w:r>
          </w:p>
        </w:tc>
        <w:tc>
          <w:tcPr>
            <w:tcW w:w="0" w:type="auto"/>
            <w:vAlign w:val="center"/>
            <w:hideMark/>
          </w:tcPr>
          <w:p w14:paraId="2F0D038A"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GHG Scope 1 և 2 վերիֆիկացիայի եզրակացություն</w:t>
            </w:r>
          </w:p>
        </w:tc>
        <w:tc>
          <w:tcPr>
            <w:tcW w:w="0" w:type="auto"/>
            <w:vAlign w:val="center"/>
            <w:hideMark/>
          </w:tcPr>
          <w:p w14:paraId="214DA352" w14:textId="41CC3DE7" w:rsidR="00FB0BD3" w:rsidRPr="00FB0BD3" w:rsidRDefault="00FB0BD3" w:rsidP="00FB0BD3">
            <w:pPr>
              <w:rPr>
                <w:rFonts w:ascii="GHEA Grapalat" w:hAnsi="GHEA Grapalat"/>
                <w:sz w:val="24"/>
                <w:szCs w:val="24"/>
              </w:rPr>
            </w:pPr>
            <w:r w:rsidRPr="00FB0BD3">
              <w:rPr>
                <w:rFonts w:ascii="GHEA Grapalat" w:hAnsi="GHEA Grapalat"/>
                <w:sz w:val="24"/>
                <w:szCs w:val="24"/>
              </w:rPr>
              <w:t xml:space="preserve">Բանկի և </w:t>
            </w:r>
            <w:r w:rsidR="00D51E2F">
              <w:rPr>
                <w:rFonts w:ascii="GHEA Grapalat" w:hAnsi="GHEA Grapalat"/>
                <w:sz w:val="24"/>
                <w:szCs w:val="24"/>
              </w:rPr>
              <w:t>Լիզինգ</w:t>
            </w:r>
            <w:r w:rsidRPr="00FB0BD3">
              <w:rPr>
                <w:rFonts w:ascii="GHEA Grapalat" w:hAnsi="GHEA Grapalat"/>
                <w:sz w:val="24"/>
                <w:szCs w:val="24"/>
              </w:rPr>
              <w:t>-ի կողմից հաշվարկված արտանետումների ստուգման և վավերացման մասնագիտական հաշվետվություն/հավաստում</w:t>
            </w:r>
          </w:p>
        </w:tc>
      </w:tr>
      <w:tr w:rsidR="00FB0BD3" w:rsidRPr="00FB0BD3" w14:paraId="63A26785" w14:textId="77777777" w:rsidTr="00FB0BD3">
        <w:trPr>
          <w:tblCellSpacing w:w="15" w:type="dxa"/>
        </w:trPr>
        <w:tc>
          <w:tcPr>
            <w:tcW w:w="0" w:type="auto"/>
            <w:vAlign w:val="center"/>
            <w:hideMark/>
          </w:tcPr>
          <w:p w14:paraId="3EDF3109"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D3</w:t>
            </w:r>
          </w:p>
        </w:tc>
        <w:tc>
          <w:tcPr>
            <w:tcW w:w="0" w:type="auto"/>
            <w:vAlign w:val="center"/>
            <w:hideMark/>
          </w:tcPr>
          <w:p w14:paraId="13690A3A"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Պարտադիր</w:t>
            </w:r>
          </w:p>
        </w:tc>
        <w:tc>
          <w:tcPr>
            <w:tcW w:w="0" w:type="auto"/>
            <w:vAlign w:val="center"/>
            <w:hideMark/>
          </w:tcPr>
          <w:p w14:paraId="3FBA1263"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Հաշվետվության նախագիծ</w:t>
            </w:r>
          </w:p>
        </w:tc>
        <w:tc>
          <w:tcPr>
            <w:tcW w:w="0" w:type="auto"/>
            <w:vAlign w:val="center"/>
            <w:hideMark/>
          </w:tcPr>
          <w:p w14:paraId="60602619"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2026թ. համախմբված ամբողջական տվյալներն ու տեքստն ընդգրկող սևագիր տարբերակ՝ հայերեն և անգլերեն</w:t>
            </w:r>
          </w:p>
        </w:tc>
      </w:tr>
      <w:tr w:rsidR="00FB0BD3" w:rsidRPr="00FB0BD3" w14:paraId="01E4A4BF" w14:textId="77777777" w:rsidTr="00FB0BD3">
        <w:trPr>
          <w:tblCellSpacing w:w="15" w:type="dxa"/>
        </w:trPr>
        <w:tc>
          <w:tcPr>
            <w:tcW w:w="0" w:type="auto"/>
            <w:vAlign w:val="center"/>
            <w:hideMark/>
          </w:tcPr>
          <w:p w14:paraId="686A3C5F"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D4</w:t>
            </w:r>
          </w:p>
        </w:tc>
        <w:tc>
          <w:tcPr>
            <w:tcW w:w="0" w:type="auto"/>
            <w:vAlign w:val="center"/>
            <w:hideMark/>
          </w:tcPr>
          <w:p w14:paraId="4E9AE74C"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Պարտադիր</w:t>
            </w:r>
          </w:p>
        </w:tc>
        <w:tc>
          <w:tcPr>
            <w:tcW w:w="0" w:type="auto"/>
            <w:vAlign w:val="center"/>
            <w:hideMark/>
          </w:tcPr>
          <w:p w14:paraId="27A81FD5"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Վերջնական հաստատված տեքստ</w:t>
            </w:r>
          </w:p>
        </w:tc>
        <w:tc>
          <w:tcPr>
            <w:tcW w:w="0" w:type="auto"/>
            <w:vAlign w:val="center"/>
            <w:hideMark/>
          </w:tcPr>
          <w:p w14:paraId="77DA0452" w14:textId="7DD2D47F" w:rsidR="00FB0BD3" w:rsidRPr="00FB0BD3" w:rsidRDefault="00FB0BD3" w:rsidP="00FB0BD3">
            <w:pPr>
              <w:rPr>
                <w:rFonts w:ascii="GHEA Grapalat" w:hAnsi="GHEA Grapalat"/>
                <w:sz w:val="24"/>
                <w:szCs w:val="24"/>
              </w:rPr>
            </w:pPr>
            <w:r w:rsidRPr="00FB0BD3">
              <w:rPr>
                <w:rFonts w:ascii="GHEA Grapalat" w:hAnsi="GHEA Grapalat"/>
                <w:sz w:val="24"/>
                <w:szCs w:val="24"/>
              </w:rPr>
              <w:t xml:space="preserve">Բանկի և </w:t>
            </w:r>
            <w:r w:rsidR="00D51E2F">
              <w:rPr>
                <w:rFonts w:ascii="GHEA Grapalat" w:hAnsi="GHEA Grapalat"/>
                <w:sz w:val="24"/>
                <w:szCs w:val="24"/>
              </w:rPr>
              <w:t>Լիզինգ</w:t>
            </w:r>
            <w:r w:rsidRPr="00FB0BD3">
              <w:rPr>
                <w:rFonts w:ascii="GHEA Grapalat" w:hAnsi="GHEA Grapalat"/>
                <w:sz w:val="24"/>
                <w:szCs w:val="24"/>
              </w:rPr>
              <w:t>-ի դիտարկումներն ինտեգրած տեքստ, GRI Content Index և SASB Index՝ հայերեն և անգլերեն</w:t>
            </w:r>
          </w:p>
        </w:tc>
      </w:tr>
      <w:tr w:rsidR="00FB0BD3" w:rsidRPr="00FB0BD3" w14:paraId="375EF8DB" w14:textId="77777777" w:rsidTr="00FB0BD3">
        <w:trPr>
          <w:tblCellSpacing w:w="15" w:type="dxa"/>
        </w:trPr>
        <w:tc>
          <w:tcPr>
            <w:tcW w:w="0" w:type="auto"/>
            <w:vAlign w:val="center"/>
            <w:hideMark/>
          </w:tcPr>
          <w:p w14:paraId="3B90D6AE"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D5</w:t>
            </w:r>
          </w:p>
        </w:tc>
        <w:tc>
          <w:tcPr>
            <w:tcW w:w="0" w:type="auto"/>
            <w:vAlign w:val="center"/>
            <w:hideMark/>
          </w:tcPr>
          <w:p w14:paraId="3E8899E5"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Հավելյալ</w:t>
            </w:r>
          </w:p>
        </w:tc>
        <w:tc>
          <w:tcPr>
            <w:tcW w:w="0" w:type="auto"/>
            <w:vAlign w:val="center"/>
            <w:hideMark/>
          </w:tcPr>
          <w:p w14:paraId="1984B804"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Դիզայնավորված PDF տարբերակ</w:t>
            </w:r>
          </w:p>
        </w:tc>
        <w:tc>
          <w:tcPr>
            <w:tcW w:w="0" w:type="auto"/>
            <w:vAlign w:val="center"/>
            <w:hideMark/>
          </w:tcPr>
          <w:p w14:paraId="1394326B"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Տպագրության և կայքում հրապարակման պատրաստ դիզայնավորված հաշվետվություն (հայերեն և անգլերեն)</w:t>
            </w:r>
          </w:p>
        </w:tc>
      </w:tr>
    </w:tbl>
    <w:p w14:paraId="517DB60F" w14:textId="77777777" w:rsidR="00FB0BD3" w:rsidRPr="00FB0BD3" w:rsidRDefault="00FB0BD3" w:rsidP="00FB0BD3">
      <w:pPr>
        <w:rPr>
          <w:rFonts w:ascii="GHEA Grapalat" w:hAnsi="GHEA Grapalat"/>
          <w:b/>
          <w:bCs/>
          <w:sz w:val="28"/>
          <w:szCs w:val="28"/>
        </w:rPr>
      </w:pPr>
      <w:r w:rsidRPr="00FB0BD3">
        <w:rPr>
          <w:rFonts w:ascii="GHEA Grapalat" w:hAnsi="GHEA Grapalat"/>
          <w:b/>
          <w:bCs/>
          <w:sz w:val="28"/>
          <w:szCs w:val="28"/>
        </w:rPr>
        <w:t>6. Կատարողին ներկայացվող որակավորման նվազագույն պահանջները</w:t>
      </w:r>
    </w:p>
    <w:p w14:paraId="5EBE48BF"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Մասնակից ընկերությունը պետք է բավարարի հետևյալ պարտադիր չափանիշներին.</w:t>
      </w:r>
    </w:p>
    <w:p w14:paraId="44F9A56C" w14:textId="77777777" w:rsidR="00FB0BD3" w:rsidRPr="00FB0BD3" w:rsidRDefault="00FB0BD3" w:rsidP="00FB0BD3">
      <w:pPr>
        <w:numPr>
          <w:ilvl w:val="0"/>
          <w:numId w:val="15"/>
        </w:numPr>
        <w:rPr>
          <w:rFonts w:ascii="GHEA Grapalat" w:hAnsi="GHEA Grapalat"/>
          <w:sz w:val="24"/>
          <w:szCs w:val="24"/>
        </w:rPr>
      </w:pPr>
      <w:r w:rsidRPr="00FB0BD3">
        <w:rPr>
          <w:rFonts w:ascii="GHEA Grapalat" w:hAnsi="GHEA Grapalat"/>
          <w:sz w:val="24"/>
          <w:szCs w:val="24"/>
        </w:rPr>
        <w:t>Մասնագիտական փորձ.</w:t>
      </w:r>
      <w:r w:rsidRPr="00FB0BD3">
        <w:rPr>
          <w:rFonts w:ascii="GHEA Grapalat" w:hAnsi="GHEA Grapalat"/>
          <w:sz w:val="24"/>
          <w:szCs w:val="24"/>
        </w:rPr>
        <w:br/>
        <w:t>Ընկերությունը կամ առաջադրված փորձագիտական թիմը պետք է ունենա առնվազն 1 (մեկ) ամբողջական Կայուն զարգացման հաշվետվության պատրաստման հաջողված և հրապարակված փորձ (պետք է ներկայացվի հրապարակված հաշվետվության հղումը կամ պատվիրատուի համապատասխան տեղեկանքը)։</w:t>
      </w:r>
    </w:p>
    <w:p w14:paraId="384BF880" w14:textId="77777777" w:rsidR="00FB0BD3" w:rsidRPr="00FB0BD3" w:rsidRDefault="00FB0BD3" w:rsidP="00FB0BD3">
      <w:pPr>
        <w:numPr>
          <w:ilvl w:val="0"/>
          <w:numId w:val="15"/>
        </w:numPr>
        <w:rPr>
          <w:rFonts w:ascii="GHEA Grapalat" w:hAnsi="GHEA Grapalat"/>
          <w:sz w:val="24"/>
          <w:szCs w:val="24"/>
        </w:rPr>
      </w:pPr>
      <w:r w:rsidRPr="00FB0BD3">
        <w:rPr>
          <w:rFonts w:ascii="GHEA Grapalat" w:hAnsi="GHEA Grapalat"/>
          <w:sz w:val="24"/>
          <w:szCs w:val="24"/>
        </w:rPr>
        <w:t>Ստանդարտների և արտանետումների հաշվառման փորձառություն.</w:t>
      </w:r>
      <w:r w:rsidRPr="00FB0BD3">
        <w:rPr>
          <w:rFonts w:ascii="GHEA Grapalat" w:hAnsi="GHEA Grapalat"/>
          <w:sz w:val="24"/>
          <w:szCs w:val="24"/>
        </w:rPr>
        <w:br/>
        <w:t>GRI Standards-ի և SASB Standards-ի կիրառման գործնական իմացություն, ինչպես նաև ջերմոցային գազերի (GHG Protocol) արտանետումների հաշվարկների վերանայման/վերիֆիկացիայի փորձառություն։</w:t>
      </w:r>
    </w:p>
    <w:p w14:paraId="55891F4A" w14:textId="77777777" w:rsidR="00FB0BD3" w:rsidRPr="00FB0BD3" w:rsidRDefault="00FB0BD3" w:rsidP="00FB0BD3">
      <w:pPr>
        <w:numPr>
          <w:ilvl w:val="0"/>
          <w:numId w:val="15"/>
        </w:numPr>
        <w:rPr>
          <w:rFonts w:ascii="GHEA Grapalat" w:hAnsi="GHEA Grapalat"/>
          <w:sz w:val="24"/>
          <w:szCs w:val="24"/>
        </w:rPr>
      </w:pPr>
      <w:r w:rsidRPr="00FB0BD3">
        <w:rPr>
          <w:rFonts w:ascii="GHEA Grapalat" w:hAnsi="GHEA Grapalat"/>
          <w:sz w:val="24"/>
          <w:szCs w:val="24"/>
        </w:rPr>
        <w:t>Ֆինանսական սեկտորի ըմբռնում.</w:t>
      </w:r>
      <w:r w:rsidRPr="00FB0BD3">
        <w:rPr>
          <w:rFonts w:ascii="GHEA Grapalat" w:hAnsi="GHEA Grapalat"/>
          <w:sz w:val="24"/>
          <w:szCs w:val="24"/>
        </w:rPr>
        <w:br/>
        <w:t>Բանկային և լիզինգային գործառնությունների առանձնահատկությունների և ESG ռիսկերի գնահատման ըմբռնում։</w:t>
      </w:r>
    </w:p>
    <w:p w14:paraId="08823D17" w14:textId="77777777" w:rsidR="00FB0BD3" w:rsidRPr="00FB0BD3" w:rsidRDefault="00FB0BD3" w:rsidP="00FB0BD3">
      <w:pPr>
        <w:numPr>
          <w:ilvl w:val="0"/>
          <w:numId w:val="15"/>
        </w:numPr>
        <w:rPr>
          <w:rFonts w:ascii="GHEA Grapalat" w:hAnsi="GHEA Grapalat"/>
          <w:sz w:val="24"/>
          <w:szCs w:val="24"/>
        </w:rPr>
      </w:pPr>
      <w:r w:rsidRPr="00FB0BD3">
        <w:rPr>
          <w:rFonts w:ascii="GHEA Grapalat" w:hAnsi="GHEA Grapalat"/>
          <w:sz w:val="24"/>
          <w:szCs w:val="24"/>
        </w:rPr>
        <w:t>Լեզվական որակավորում.</w:t>
      </w:r>
      <w:r w:rsidRPr="00FB0BD3">
        <w:rPr>
          <w:rFonts w:ascii="GHEA Grapalat" w:hAnsi="GHEA Grapalat"/>
          <w:sz w:val="24"/>
          <w:szCs w:val="24"/>
        </w:rPr>
        <w:br/>
        <w:t>Ֆինանսաբանկային և ESG թեմաներով հայերեն և անգլերեն մասնագիտական բարձրորակ տեքստեր մշակելու և սրբագրելու կարողություն։</w:t>
      </w:r>
    </w:p>
    <w:p w14:paraId="076E61B8" w14:textId="77777777" w:rsidR="00FB0BD3" w:rsidRPr="00FB0BD3" w:rsidRDefault="00FB0BD3" w:rsidP="00FB0BD3">
      <w:pPr>
        <w:rPr>
          <w:rFonts w:ascii="GHEA Grapalat" w:hAnsi="GHEA Grapalat"/>
          <w:b/>
          <w:bCs/>
          <w:sz w:val="28"/>
          <w:szCs w:val="28"/>
        </w:rPr>
      </w:pPr>
      <w:r w:rsidRPr="00FB0BD3">
        <w:rPr>
          <w:rFonts w:ascii="GHEA Grapalat" w:hAnsi="GHEA Grapalat"/>
          <w:b/>
          <w:bCs/>
          <w:sz w:val="28"/>
          <w:szCs w:val="28"/>
        </w:rPr>
        <w:lastRenderedPageBreak/>
        <w:t>7. Աշխատանքների կատարման ժամանակացույց (Services Schedule)</w:t>
      </w:r>
    </w:p>
    <w:p w14:paraId="30A77276"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Ծառայությունների մատուցումը կմեկնարկի Պայմանագրի ստորագրման և Բանկի կողմից նախնական տվյալների տրամադրման պահից և կտևի մինչև 2027 թվականի մայիսի 30-ը ներառյալ։</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6"/>
        <w:gridCol w:w="6737"/>
        <w:gridCol w:w="3547"/>
      </w:tblGrid>
      <w:tr w:rsidR="00FB0BD3" w:rsidRPr="00FB0BD3" w14:paraId="2ECF389F" w14:textId="77777777" w:rsidTr="00FB0BD3">
        <w:trPr>
          <w:tblCellSpacing w:w="15" w:type="dxa"/>
        </w:trPr>
        <w:tc>
          <w:tcPr>
            <w:tcW w:w="0" w:type="auto"/>
            <w:vAlign w:val="center"/>
            <w:hideMark/>
          </w:tcPr>
          <w:p w14:paraId="22DEEF90"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Փուլ</w:t>
            </w:r>
          </w:p>
        </w:tc>
        <w:tc>
          <w:tcPr>
            <w:tcW w:w="0" w:type="auto"/>
            <w:vAlign w:val="center"/>
            <w:hideMark/>
          </w:tcPr>
          <w:p w14:paraId="5D9920DB"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Գործողություն</w:t>
            </w:r>
          </w:p>
        </w:tc>
        <w:tc>
          <w:tcPr>
            <w:tcW w:w="0" w:type="auto"/>
            <w:vAlign w:val="center"/>
            <w:hideMark/>
          </w:tcPr>
          <w:p w14:paraId="568E5E94"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Կատարման ժամկետ</w:t>
            </w:r>
          </w:p>
        </w:tc>
      </w:tr>
      <w:tr w:rsidR="00FB0BD3" w:rsidRPr="00FB0BD3" w14:paraId="0A0D9290" w14:textId="77777777" w:rsidTr="00FB0BD3">
        <w:trPr>
          <w:tblCellSpacing w:w="15" w:type="dxa"/>
        </w:trPr>
        <w:tc>
          <w:tcPr>
            <w:tcW w:w="0" w:type="auto"/>
            <w:vAlign w:val="center"/>
            <w:hideMark/>
          </w:tcPr>
          <w:p w14:paraId="5EBBF1F8"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Փուլ 1</w:t>
            </w:r>
          </w:p>
        </w:tc>
        <w:tc>
          <w:tcPr>
            <w:tcW w:w="0" w:type="auto"/>
            <w:vAlign w:val="center"/>
            <w:hideMark/>
          </w:tcPr>
          <w:p w14:paraId="6B3E9880" w14:textId="53EAD813" w:rsidR="00FB0BD3" w:rsidRPr="00FB0BD3" w:rsidRDefault="00FB0BD3" w:rsidP="00FB0BD3">
            <w:pPr>
              <w:rPr>
                <w:rFonts w:ascii="GHEA Grapalat" w:hAnsi="GHEA Grapalat"/>
                <w:sz w:val="24"/>
                <w:szCs w:val="24"/>
              </w:rPr>
            </w:pPr>
            <w:r w:rsidRPr="00FB0BD3">
              <w:rPr>
                <w:rFonts w:ascii="GHEA Grapalat" w:hAnsi="GHEA Grapalat"/>
                <w:sz w:val="24"/>
                <w:szCs w:val="24"/>
              </w:rPr>
              <w:t xml:space="preserve">Նախագծի մեկնարկ, Բանկի և </w:t>
            </w:r>
            <w:r w:rsidR="00D51E2F">
              <w:rPr>
                <w:rFonts w:ascii="GHEA Grapalat" w:hAnsi="GHEA Grapalat"/>
                <w:sz w:val="24"/>
                <w:szCs w:val="24"/>
              </w:rPr>
              <w:t>Լիզինգ</w:t>
            </w:r>
            <w:r w:rsidRPr="00FB0BD3">
              <w:rPr>
                <w:rFonts w:ascii="GHEA Grapalat" w:hAnsi="GHEA Grapalat"/>
                <w:sz w:val="24"/>
                <w:szCs w:val="24"/>
              </w:rPr>
              <w:t>-ի տվյալների հավաքագրման ձևանմուշների մշակում</w:t>
            </w:r>
          </w:p>
        </w:tc>
        <w:tc>
          <w:tcPr>
            <w:tcW w:w="0" w:type="auto"/>
            <w:vAlign w:val="center"/>
            <w:hideMark/>
          </w:tcPr>
          <w:p w14:paraId="5B6D456F"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Պայմանագրի կնքումից հետո 15 աշխատանքային օրվա ընթացքում</w:t>
            </w:r>
          </w:p>
        </w:tc>
      </w:tr>
      <w:tr w:rsidR="00FB0BD3" w:rsidRPr="00FB0BD3" w14:paraId="50AD068E" w14:textId="77777777" w:rsidTr="00FB0BD3">
        <w:trPr>
          <w:tblCellSpacing w:w="15" w:type="dxa"/>
        </w:trPr>
        <w:tc>
          <w:tcPr>
            <w:tcW w:w="0" w:type="auto"/>
            <w:vAlign w:val="center"/>
            <w:hideMark/>
          </w:tcPr>
          <w:p w14:paraId="45BC4C9E"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Փուլ 2</w:t>
            </w:r>
          </w:p>
        </w:tc>
        <w:tc>
          <w:tcPr>
            <w:tcW w:w="0" w:type="auto"/>
            <w:vAlign w:val="center"/>
            <w:hideMark/>
          </w:tcPr>
          <w:p w14:paraId="63D42CFA"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Տվյալների մշակում, GHG Scope 1 և 2 հաշվարկների վերիֆիկացիա, SASB ցուցանիշների համադրում, Հաշվետվության 1-ին սևագրի ներկայացում (հայերեն և անգլերեն)</w:t>
            </w:r>
          </w:p>
        </w:tc>
        <w:tc>
          <w:tcPr>
            <w:tcW w:w="0" w:type="auto"/>
            <w:vAlign w:val="center"/>
            <w:hideMark/>
          </w:tcPr>
          <w:p w14:paraId="5DCE5C05"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Մինչև 2027թ. մարտի 31-ը</w:t>
            </w:r>
          </w:p>
        </w:tc>
      </w:tr>
      <w:tr w:rsidR="00FB0BD3" w:rsidRPr="00FB0BD3" w14:paraId="33669D48" w14:textId="77777777" w:rsidTr="00FB0BD3">
        <w:trPr>
          <w:tblCellSpacing w:w="15" w:type="dxa"/>
        </w:trPr>
        <w:tc>
          <w:tcPr>
            <w:tcW w:w="0" w:type="auto"/>
            <w:vAlign w:val="center"/>
            <w:hideMark/>
          </w:tcPr>
          <w:p w14:paraId="18E14E27"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Փուլ 3</w:t>
            </w:r>
          </w:p>
        </w:tc>
        <w:tc>
          <w:tcPr>
            <w:tcW w:w="0" w:type="auto"/>
            <w:vAlign w:val="center"/>
            <w:hideMark/>
          </w:tcPr>
          <w:p w14:paraId="167FFC79"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Դիտարկումների ինտեգրում, երկլեզու տեքստի վերջնականացում, GRI և SASB ինդեքսների կազմում</w:t>
            </w:r>
          </w:p>
        </w:tc>
        <w:tc>
          <w:tcPr>
            <w:tcW w:w="0" w:type="auto"/>
            <w:vAlign w:val="center"/>
            <w:hideMark/>
          </w:tcPr>
          <w:p w14:paraId="47055A51"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Մինչև 2027թ. ապրիլի 30-ը</w:t>
            </w:r>
          </w:p>
        </w:tc>
      </w:tr>
      <w:tr w:rsidR="00FB0BD3" w:rsidRPr="00FB0BD3" w14:paraId="1B63EFA9" w14:textId="77777777" w:rsidTr="00FB0BD3">
        <w:trPr>
          <w:tblCellSpacing w:w="15" w:type="dxa"/>
        </w:trPr>
        <w:tc>
          <w:tcPr>
            <w:tcW w:w="0" w:type="auto"/>
            <w:vAlign w:val="center"/>
            <w:hideMark/>
          </w:tcPr>
          <w:p w14:paraId="02ACB46B"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Փուլ 4</w:t>
            </w:r>
          </w:p>
        </w:tc>
        <w:tc>
          <w:tcPr>
            <w:tcW w:w="0" w:type="auto"/>
            <w:vAlign w:val="center"/>
            <w:hideMark/>
          </w:tcPr>
          <w:p w14:paraId="36921782" w14:textId="77777777" w:rsidR="00FB0BD3" w:rsidRPr="00FB0BD3" w:rsidRDefault="00FB0BD3" w:rsidP="00FB0BD3">
            <w:pPr>
              <w:rPr>
                <w:rFonts w:ascii="GHEA Grapalat" w:hAnsi="GHEA Grapalat"/>
                <w:sz w:val="24"/>
                <w:szCs w:val="24"/>
              </w:rPr>
            </w:pPr>
            <w:r w:rsidRPr="00FB0BD3">
              <w:rPr>
                <w:rFonts w:ascii="GHEA Grapalat" w:hAnsi="GHEA Grapalat"/>
                <w:i/>
                <w:iCs/>
                <w:sz w:val="24"/>
                <w:szCs w:val="24"/>
              </w:rPr>
              <w:t>(Կիրառելիության դեպքում)</w:t>
            </w:r>
            <w:r w:rsidRPr="00FB0BD3">
              <w:rPr>
                <w:rFonts w:ascii="GHEA Grapalat" w:hAnsi="GHEA Grapalat"/>
                <w:sz w:val="24"/>
                <w:szCs w:val="24"/>
              </w:rPr>
              <w:t xml:space="preserve"> Դիզայնի և էջադրման ավարտ, վերջնական հանձնում-ընդունում</w:t>
            </w:r>
          </w:p>
        </w:tc>
        <w:tc>
          <w:tcPr>
            <w:tcW w:w="0" w:type="auto"/>
            <w:vAlign w:val="center"/>
            <w:hideMark/>
          </w:tcPr>
          <w:p w14:paraId="1D9C9745"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Մինչև 2027թ. մայիսի 30-ը</w:t>
            </w:r>
          </w:p>
        </w:tc>
      </w:tr>
    </w:tbl>
    <w:p w14:paraId="63EDE5B5" w14:textId="77777777" w:rsidR="00FB0BD3" w:rsidRPr="00FB0BD3" w:rsidRDefault="00FB0BD3" w:rsidP="00FB0BD3">
      <w:pPr>
        <w:rPr>
          <w:rFonts w:ascii="GHEA Grapalat" w:hAnsi="GHEA Grapalat"/>
          <w:b/>
          <w:bCs/>
          <w:sz w:val="28"/>
          <w:szCs w:val="28"/>
        </w:rPr>
      </w:pPr>
      <w:r w:rsidRPr="00FB0BD3">
        <w:rPr>
          <w:rFonts w:ascii="GHEA Grapalat" w:hAnsi="GHEA Grapalat"/>
          <w:b/>
          <w:bCs/>
          <w:sz w:val="28"/>
          <w:szCs w:val="28"/>
        </w:rPr>
        <w:t>8. Ֆինանսական առաջարկի կառուցվածքը</w:t>
      </w:r>
    </w:p>
    <w:p w14:paraId="38923D40"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Մասնակիցներին կառաջարկվի գնառաջարկը ներկայացնել հետևյալ ձևաչափով.</w:t>
      </w:r>
    </w:p>
    <w:p w14:paraId="5D449AB0" w14:textId="3080B411" w:rsidR="00FB0BD3" w:rsidRPr="00FB0BD3" w:rsidRDefault="00FB0BD3" w:rsidP="00FB0BD3">
      <w:pPr>
        <w:numPr>
          <w:ilvl w:val="0"/>
          <w:numId w:val="16"/>
        </w:numPr>
        <w:rPr>
          <w:rFonts w:ascii="GHEA Grapalat" w:hAnsi="GHEA Grapalat"/>
          <w:sz w:val="24"/>
          <w:szCs w:val="24"/>
        </w:rPr>
      </w:pPr>
      <w:r w:rsidRPr="00FB0BD3">
        <w:rPr>
          <w:rFonts w:ascii="GHEA Grapalat" w:hAnsi="GHEA Grapalat"/>
          <w:sz w:val="24"/>
          <w:szCs w:val="24"/>
        </w:rPr>
        <w:t xml:space="preserve">Հիմնական առաջարկ (Պարտադիր). 2026թ. Կայուն զարգացման հաշվետվության երկլեզու (հայերեն և անգլերեն) բովանդակության կազմման խորհրդատվություն (GRI + SASB՝ Բանկ + </w:t>
      </w:r>
      <w:r w:rsidR="00D51E2F">
        <w:rPr>
          <w:rFonts w:ascii="GHEA Grapalat" w:hAnsi="GHEA Grapalat"/>
          <w:sz w:val="24"/>
          <w:szCs w:val="24"/>
        </w:rPr>
        <w:t>Լիզինգ</w:t>
      </w:r>
      <w:r w:rsidRPr="00FB0BD3">
        <w:rPr>
          <w:rFonts w:ascii="GHEA Grapalat" w:hAnsi="GHEA Grapalat"/>
          <w:sz w:val="24"/>
          <w:szCs w:val="24"/>
        </w:rPr>
        <w:t>) և GHG Scope 1 ու 2 արտանետումների վերիֆիկացիա։</w:t>
      </w:r>
    </w:p>
    <w:p w14:paraId="12D0D310" w14:textId="54B6D31A" w:rsidR="00FB0BD3" w:rsidRDefault="00FB0BD3" w:rsidP="00FB0BD3">
      <w:pPr>
        <w:numPr>
          <w:ilvl w:val="0"/>
          <w:numId w:val="16"/>
        </w:numPr>
        <w:rPr>
          <w:rFonts w:ascii="GHEA Grapalat" w:hAnsi="GHEA Grapalat"/>
          <w:sz w:val="24"/>
          <w:szCs w:val="24"/>
        </w:rPr>
      </w:pPr>
      <w:r w:rsidRPr="00FB0BD3">
        <w:rPr>
          <w:rFonts w:ascii="GHEA Grapalat" w:hAnsi="GHEA Grapalat"/>
          <w:sz w:val="24"/>
          <w:szCs w:val="24"/>
        </w:rPr>
        <w:t>Հավելյալ առաջարկ (Ոչ պարտադիր / Option). Գրաֆիկական դիզայն և էջադրում (հայերեն և անգլերեն տարբերակների համար)։</w:t>
      </w:r>
    </w:p>
    <w:p w14:paraId="57584A80" w14:textId="77777777" w:rsidR="00FB0BD3" w:rsidRDefault="00FB0BD3" w:rsidP="00FB0BD3">
      <w:pPr>
        <w:rPr>
          <w:rFonts w:ascii="GHEA Grapalat" w:hAnsi="GHEA Grapalat"/>
          <w:sz w:val="24"/>
          <w:szCs w:val="24"/>
        </w:rPr>
      </w:pPr>
    </w:p>
    <w:p w14:paraId="31620BF3" w14:textId="77777777" w:rsidR="00FB0BD3" w:rsidRDefault="00FB0BD3" w:rsidP="00FB0BD3">
      <w:pPr>
        <w:rPr>
          <w:rFonts w:ascii="GHEA Grapalat" w:hAnsi="GHEA Grapalat"/>
          <w:sz w:val="24"/>
          <w:szCs w:val="24"/>
        </w:rPr>
      </w:pPr>
    </w:p>
    <w:p w14:paraId="26D2C279" w14:textId="77777777" w:rsidR="00FB0BD3" w:rsidRDefault="00FB0BD3" w:rsidP="00FB0BD3">
      <w:pPr>
        <w:rPr>
          <w:rFonts w:ascii="GHEA Grapalat" w:hAnsi="GHEA Grapalat"/>
          <w:sz w:val="24"/>
          <w:szCs w:val="24"/>
        </w:rPr>
      </w:pPr>
    </w:p>
    <w:p w14:paraId="5D8BD102" w14:textId="77777777" w:rsidR="00FB0BD3" w:rsidRDefault="00FB0BD3" w:rsidP="00FB0BD3">
      <w:pPr>
        <w:rPr>
          <w:rFonts w:ascii="GHEA Grapalat" w:hAnsi="GHEA Grapalat"/>
          <w:sz w:val="24"/>
          <w:szCs w:val="24"/>
        </w:rPr>
      </w:pPr>
    </w:p>
    <w:p w14:paraId="01CEC33E" w14:textId="77777777" w:rsidR="00FB0BD3" w:rsidRDefault="00FB0BD3" w:rsidP="00FB0BD3">
      <w:pPr>
        <w:rPr>
          <w:rFonts w:ascii="GHEA Grapalat" w:hAnsi="GHEA Grapalat"/>
          <w:sz w:val="24"/>
          <w:szCs w:val="24"/>
        </w:rPr>
      </w:pPr>
    </w:p>
    <w:p w14:paraId="443470DD" w14:textId="77777777" w:rsidR="00FB0BD3" w:rsidRDefault="00FB0BD3" w:rsidP="00FB0BD3">
      <w:pPr>
        <w:rPr>
          <w:rFonts w:ascii="GHEA Grapalat" w:hAnsi="GHEA Grapalat"/>
          <w:sz w:val="24"/>
          <w:szCs w:val="24"/>
        </w:rPr>
      </w:pPr>
    </w:p>
    <w:p w14:paraId="21EF1F9C" w14:textId="77777777" w:rsidR="00FB0BD3" w:rsidRDefault="00FB0BD3" w:rsidP="00FB0BD3">
      <w:pPr>
        <w:rPr>
          <w:rFonts w:ascii="GHEA Grapalat" w:hAnsi="GHEA Grapalat"/>
          <w:sz w:val="24"/>
          <w:szCs w:val="24"/>
        </w:rPr>
      </w:pPr>
    </w:p>
    <w:p w14:paraId="23494D26" w14:textId="77777777" w:rsidR="00FB0BD3" w:rsidRPr="00FB0BD3" w:rsidRDefault="00FB0BD3" w:rsidP="00FB0BD3">
      <w:pPr>
        <w:rPr>
          <w:rFonts w:ascii="GHEA Grapalat" w:hAnsi="GHEA Grapalat"/>
          <w:sz w:val="24"/>
          <w:szCs w:val="24"/>
        </w:rPr>
      </w:pPr>
    </w:p>
    <w:p w14:paraId="703DB7AB" w14:textId="77777777" w:rsidR="00FB0BD3" w:rsidRPr="00FB0BD3" w:rsidRDefault="00FB0BD3" w:rsidP="00FB0BD3">
      <w:pPr>
        <w:jc w:val="center"/>
        <w:rPr>
          <w:rFonts w:ascii="GHEA Grapalat" w:hAnsi="GHEA Grapalat"/>
          <w:b/>
          <w:bCs/>
          <w:sz w:val="32"/>
          <w:szCs w:val="32"/>
        </w:rPr>
      </w:pPr>
      <w:r w:rsidRPr="00FB0BD3">
        <w:rPr>
          <w:rFonts w:ascii="GHEA Grapalat" w:hAnsi="GHEA Grapalat"/>
          <w:b/>
          <w:bCs/>
          <w:sz w:val="32"/>
          <w:szCs w:val="32"/>
        </w:rPr>
        <w:lastRenderedPageBreak/>
        <w:t>TERMS OF REFERENCE (ToR)</w:t>
      </w:r>
    </w:p>
    <w:p w14:paraId="0ABC176E" w14:textId="77777777" w:rsidR="00FB0BD3" w:rsidRPr="00FB0BD3" w:rsidRDefault="00FB0BD3" w:rsidP="00FB0BD3">
      <w:pPr>
        <w:jc w:val="center"/>
        <w:rPr>
          <w:rFonts w:ascii="GHEA Grapalat" w:hAnsi="GHEA Grapalat"/>
          <w:b/>
          <w:bCs/>
          <w:sz w:val="32"/>
          <w:szCs w:val="32"/>
        </w:rPr>
      </w:pPr>
      <w:r w:rsidRPr="00FB0BD3">
        <w:rPr>
          <w:rFonts w:ascii="GHEA Grapalat" w:hAnsi="GHEA Grapalat"/>
          <w:b/>
          <w:bCs/>
          <w:sz w:val="32"/>
          <w:szCs w:val="32"/>
        </w:rPr>
        <w:t>FOR THE PROVISION OF CONSULTANCY SERVICES FOR THE PREPARATION OF THE 2026 SUSTAINABILITY REPORT OF "ACBA BANK" OJSC AND "ACBA LEASING" UCO CJSC</w:t>
      </w:r>
    </w:p>
    <w:p w14:paraId="6CDB979F" w14:textId="77777777" w:rsidR="00FB0BD3" w:rsidRPr="00FB0BD3" w:rsidRDefault="00FB0BD3" w:rsidP="00FB0BD3">
      <w:pPr>
        <w:rPr>
          <w:rFonts w:ascii="GHEA Grapalat" w:hAnsi="GHEA Grapalat"/>
          <w:b/>
          <w:bCs/>
          <w:sz w:val="28"/>
          <w:szCs w:val="28"/>
        </w:rPr>
      </w:pPr>
      <w:r w:rsidRPr="00FB0BD3">
        <w:rPr>
          <w:rFonts w:ascii="GHEA Grapalat" w:hAnsi="GHEA Grapalat"/>
          <w:b/>
          <w:bCs/>
          <w:sz w:val="28"/>
          <w:szCs w:val="28"/>
        </w:rPr>
        <w:t>1. Objective and General Overview of the Services</w:t>
      </w:r>
    </w:p>
    <w:p w14:paraId="3F54A599" w14:textId="77777777" w:rsidR="00FB0BD3" w:rsidRPr="00FB0BD3" w:rsidRDefault="00FB0BD3" w:rsidP="00FB0BD3">
      <w:pPr>
        <w:numPr>
          <w:ilvl w:val="0"/>
          <w:numId w:val="17"/>
        </w:numPr>
        <w:rPr>
          <w:rFonts w:ascii="GHEA Grapalat" w:hAnsi="GHEA Grapalat"/>
          <w:sz w:val="24"/>
          <w:szCs w:val="24"/>
        </w:rPr>
      </w:pPr>
      <w:r w:rsidRPr="00FB0BD3">
        <w:rPr>
          <w:rFonts w:ascii="GHEA Grapalat" w:hAnsi="GHEA Grapalat"/>
          <w:sz w:val="24"/>
          <w:szCs w:val="24"/>
        </w:rPr>
        <w:t>Subject Matter: Provision of consultancy services for the preparation, coordination, bilingual drafting (Armenian and English), and finalization of the Annual Sustainability Report of "ACBA BANK" OJSC and its subsidiary "ACBA LEASING" UCO CJSC (hereinafter jointly referred to as the "Bank" / the "Group" / the "Client") covering full-year operations for 2026 (01.01.2026 – 31.12.2026) (hereinafter referred to as the "Services").</w:t>
      </w:r>
    </w:p>
    <w:p w14:paraId="2D61BBB8" w14:textId="77777777" w:rsidR="00FB0BD3" w:rsidRPr="00FB0BD3" w:rsidRDefault="00FB0BD3" w:rsidP="00FB0BD3">
      <w:pPr>
        <w:numPr>
          <w:ilvl w:val="0"/>
          <w:numId w:val="17"/>
        </w:numPr>
        <w:rPr>
          <w:rFonts w:ascii="GHEA Grapalat" w:hAnsi="GHEA Grapalat"/>
          <w:sz w:val="24"/>
          <w:szCs w:val="24"/>
        </w:rPr>
      </w:pPr>
      <w:r w:rsidRPr="00FB0BD3">
        <w:rPr>
          <w:rFonts w:ascii="GHEA Grapalat" w:hAnsi="GHEA Grapalat"/>
          <w:sz w:val="24"/>
          <w:szCs w:val="24"/>
        </w:rPr>
        <w:t>Reporting Boundary: The Report shall reflect the consolidated sustainability performance of the Group, capturing data, operations, financial products (e.g., green lending, green leasing), and ESG indicators of both the Bank and "Acba Leasing".</w:t>
      </w:r>
    </w:p>
    <w:p w14:paraId="196B5338" w14:textId="77777777" w:rsidR="00FB0BD3" w:rsidRPr="00FB0BD3" w:rsidRDefault="00FB0BD3" w:rsidP="00FB0BD3">
      <w:pPr>
        <w:numPr>
          <w:ilvl w:val="0"/>
          <w:numId w:val="17"/>
        </w:numPr>
        <w:rPr>
          <w:rFonts w:ascii="GHEA Grapalat" w:hAnsi="GHEA Grapalat"/>
          <w:sz w:val="24"/>
          <w:szCs w:val="24"/>
        </w:rPr>
      </w:pPr>
      <w:r w:rsidRPr="00FB0BD3">
        <w:rPr>
          <w:rFonts w:ascii="GHEA Grapalat" w:hAnsi="GHEA Grapalat"/>
          <w:sz w:val="24"/>
          <w:szCs w:val="24"/>
        </w:rPr>
        <w:t>Applicable International Standards:</w:t>
      </w:r>
    </w:p>
    <w:p w14:paraId="456448DC" w14:textId="77777777" w:rsidR="00FB0BD3" w:rsidRPr="00FB0BD3" w:rsidRDefault="00FB0BD3" w:rsidP="00FB0BD3">
      <w:pPr>
        <w:numPr>
          <w:ilvl w:val="1"/>
          <w:numId w:val="17"/>
        </w:numPr>
        <w:rPr>
          <w:rFonts w:ascii="GHEA Grapalat" w:hAnsi="GHEA Grapalat"/>
          <w:sz w:val="24"/>
          <w:szCs w:val="24"/>
        </w:rPr>
      </w:pPr>
      <w:r w:rsidRPr="00FB0BD3">
        <w:rPr>
          <w:rFonts w:ascii="GHEA Grapalat" w:hAnsi="GHEA Grapalat"/>
          <w:sz w:val="24"/>
          <w:szCs w:val="24"/>
        </w:rPr>
        <w:t>GRI Standards: The Report must be prepared with reference to the Global Reporting Initiative Standards ("with reference to the GRI Standards"), including the applicable provisions of relevant sector guidance.</w:t>
      </w:r>
    </w:p>
    <w:p w14:paraId="334BFEA2" w14:textId="77777777" w:rsidR="00FB0BD3" w:rsidRPr="00FB0BD3" w:rsidRDefault="00FB0BD3" w:rsidP="00FB0BD3">
      <w:pPr>
        <w:numPr>
          <w:ilvl w:val="1"/>
          <w:numId w:val="17"/>
        </w:numPr>
        <w:rPr>
          <w:rFonts w:ascii="GHEA Grapalat" w:hAnsi="GHEA Grapalat"/>
          <w:sz w:val="24"/>
          <w:szCs w:val="24"/>
        </w:rPr>
      </w:pPr>
      <w:r w:rsidRPr="00FB0BD3">
        <w:rPr>
          <w:rFonts w:ascii="GHEA Grapalat" w:hAnsi="GHEA Grapalat"/>
          <w:sz w:val="24"/>
          <w:szCs w:val="24"/>
        </w:rPr>
        <w:t>SASB Standards: The Report must integrate the disclosure topics and accounting metrics of the Sustainability Accounting Standards Board (SASB) industry standard for Commercial Banks (data security, financial inclusion, ESG integration in lending/leasing, business ethics).</w:t>
      </w:r>
    </w:p>
    <w:p w14:paraId="0574571C" w14:textId="77777777" w:rsidR="00FB0BD3" w:rsidRPr="00FB0BD3" w:rsidRDefault="00FB0BD3" w:rsidP="00FB0BD3">
      <w:pPr>
        <w:rPr>
          <w:rFonts w:ascii="GHEA Grapalat" w:hAnsi="GHEA Grapalat"/>
          <w:b/>
          <w:bCs/>
          <w:sz w:val="28"/>
          <w:szCs w:val="28"/>
        </w:rPr>
      </w:pPr>
      <w:r w:rsidRPr="00FB0BD3">
        <w:rPr>
          <w:rFonts w:ascii="GHEA Grapalat" w:hAnsi="GHEA Grapalat"/>
          <w:b/>
          <w:bCs/>
          <w:sz w:val="28"/>
          <w:szCs w:val="28"/>
        </w:rPr>
        <w:t>2. Mandatory Scope of Services</w:t>
      </w:r>
    </w:p>
    <w:p w14:paraId="5B3E80DF"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The Consulting Firm (hereinafter referred to as the "Contractor") undertakes to perform the following mandatory tasks:</w:t>
      </w:r>
    </w:p>
    <w:p w14:paraId="07E2D198" w14:textId="77777777" w:rsidR="00FB0BD3" w:rsidRPr="00FB0BD3" w:rsidRDefault="00FB0BD3" w:rsidP="00FB0BD3">
      <w:pPr>
        <w:numPr>
          <w:ilvl w:val="0"/>
          <w:numId w:val="18"/>
        </w:numPr>
        <w:rPr>
          <w:rFonts w:ascii="GHEA Grapalat" w:hAnsi="GHEA Grapalat"/>
          <w:sz w:val="24"/>
          <w:szCs w:val="24"/>
        </w:rPr>
      </w:pPr>
      <w:r w:rsidRPr="00FB0BD3">
        <w:rPr>
          <w:rFonts w:ascii="GHEA Grapalat" w:hAnsi="GHEA Grapalat"/>
          <w:sz w:val="24"/>
          <w:szCs w:val="24"/>
        </w:rPr>
        <w:t>Data Collection Tooling and Project Inception:</w:t>
      </w:r>
    </w:p>
    <w:p w14:paraId="238F5AE2" w14:textId="77777777" w:rsidR="00FB0BD3" w:rsidRPr="00FB0BD3" w:rsidRDefault="00FB0BD3" w:rsidP="00FB0BD3">
      <w:pPr>
        <w:numPr>
          <w:ilvl w:val="1"/>
          <w:numId w:val="18"/>
        </w:numPr>
        <w:rPr>
          <w:rFonts w:ascii="GHEA Grapalat" w:hAnsi="GHEA Grapalat"/>
          <w:sz w:val="24"/>
          <w:szCs w:val="24"/>
        </w:rPr>
      </w:pPr>
      <w:r w:rsidRPr="00FB0BD3">
        <w:rPr>
          <w:rFonts w:ascii="GHEA Grapalat" w:hAnsi="GHEA Grapalat"/>
          <w:sz w:val="24"/>
          <w:szCs w:val="24"/>
        </w:rPr>
        <w:t>Developing customized Data Collection Templates tailored to the internal organizational structure of both the Bank and "Acba Leasing", aligned with GRI and SASB standards.</w:t>
      </w:r>
    </w:p>
    <w:p w14:paraId="4D9E5F73" w14:textId="77777777" w:rsidR="00FB0BD3" w:rsidRPr="00FB0BD3" w:rsidRDefault="00FB0BD3" w:rsidP="00FB0BD3">
      <w:pPr>
        <w:numPr>
          <w:ilvl w:val="1"/>
          <w:numId w:val="18"/>
        </w:numPr>
        <w:rPr>
          <w:rFonts w:ascii="GHEA Grapalat" w:hAnsi="GHEA Grapalat"/>
          <w:sz w:val="24"/>
          <w:szCs w:val="24"/>
        </w:rPr>
      </w:pPr>
      <w:r w:rsidRPr="00FB0BD3">
        <w:rPr>
          <w:rFonts w:ascii="GHEA Grapalat" w:hAnsi="GHEA Grapalat"/>
          <w:sz w:val="24"/>
          <w:szCs w:val="24"/>
        </w:rPr>
        <w:t>Providing instructional questionnaires and advisory support to the responsible departments throughout the data collection process.</w:t>
      </w:r>
    </w:p>
    <w:p w14:paraId="4FC0A654" w14:textId="77777777" w:rsidR="00FB0BD3" w:rsidRPr="00FB0BD3" w:rsidRDefault="00FB0BD3" w:rsidP="00FB0BD3">
      <w:pPr>
        <w:numPr>
          <w:ilvl w:val="0"/>
          <w:numId w:val="18"/>
        </w:numPr>
        <w:rPr>
          <w:rFonts w:ascii="GHEA Grapalat" w:hAnsi="GHEA Grapalat"/>
          <w:sz w:val="24"/>
          <w:szCs w:val="24"/>
        </w:rPr>
      </w:pPr>
      <w:r w:rsidRPr="00FB0BD3">
        <w:rPr>
          <w:rFonts w:ascii="GHEA Grapalat" w:hAnsi="GHEA Grapalat"/>
          <w:sz w:val="24"/>
          <w:szCs w:val="24"/>
        </w:rPr>
        <w:t>Data Processing, Analysis, and GHG Verification:</w:t>
      </w:r>
    </w:p>
    <w:p w14:paraId="2CB9BF68" w14:textId="77777777" w:rsidR="00FB0BD3" w:rsidRPr="00FB0BD3" w:rsidRDefault="00FB0BD3" w:rsidP="00FB0BD3">
      <w:pPr>
        <w:numPr>
          <w:ilvl w:val="1"/>
          <w:numId w:val="18"/>
        </w:numPr>
        <w:rPr>
          <w:rFonts w:ascii="GHEA Grapalat" w:hAnsi="GHEA Grapalat"/>
          <w:sz w:val="24"/>
          <w:szCs w:val="24"/>
        </w:rPr>
      </w:pPr>
      <w:r w:rsidRPr="00FB0BD3">
        <w:rPr>
          <w:rFonts w:ascii="GHEA Grapalat" w:hAnsi="GHEA Grapalat"/>
          <w:sz w:val="24"/>
          <w:szCs w:val="24"/>
        </w:rPr>
        <w:t>Consolidating, reviewing, and verifying the completeness and consistency of the collected ESG data at both standalone and consolidated levels.</w:t>
      </w:r>
    </w:p>
    <w:p w14:paraId="6CF0B8EB" w14:textId="77777777" w:rsidR="00FB0BD3" w:rsidRPr="00FB0BD3" w:rsidRDefault="00FB0BD3" w:rsidP="00FB0BD3">
      <w:pPr>
        <w:numPr>
          <w:ilvl w:val="1"/>
          <w:numId w:val="18"/>
        </w:numPr>
        <w:rPr>
          <w:rFonts w:ascii="GHEA Grapalat" w:hAnsi="GHEA Grapalat"/>
          <w:sz w:val="24"/>
          <w:szCs w:val="24"/>
        </w:rPr>
      </w:pPr>
      <w:r w:rsidRPr="00FB0BD3">
        <w:rPr>
          <w:rFonts w:ascii="GHEA Grapalat" w:hAnsi="GHEA Grapalat"/>
          <w:sz w:val="24"/>
          <w:szCs w:val="24"/>
        </w:rPr>
        <w:lastRenderedPageBreak/>
        <w:t>GHG Verification (Scope 1 and Scope 2): Conducting a professional review, technical verification, and validation of the baseline data, emission factors, calculation methodologies, and final metrics for Scope 1 and Scope 2 greenhouse gas emissions calculated by the Bank and "Acba Leasing".</w:t>
      </w:r>
    </w:p>
    <w:p w14:paraId="69F2FBCA" w14:textId="77777777" w:rsidR="00FB0BD3" w:rsidRPr="00FB0BD3" w:rsidRDefault="00FB0BD3" w:rsidP="00FB0BD3">
      <w:pPr>
        <w:numPr>
          <w:ilvl w:val="1"/>
          <w:numId w:val="18"/>
        </w:numPr>
        <w:rPr>
          <w:rFonts w:ascii="GHEA Grapalat" w:hAnsi="GHEA Grapalat"/>
          <w:sz w:val="24"/>
          <w:szCs w:val="24"/>
        </w:rPr>
      </w:pPr>
      <w:r w:rsidRPr="00FB0BD3">
        <w:rPr>
          <w:rFonts w:ascii="GHEA Grapalat" w:hAnsi="GHEA Grapalat"/>
          <w:sz w:val="24"/>
          <w:szCs w:val="24"/>
        </w:rPr>
        <w:t>Consolidating and integrating quantitative and qualitative metrics under the SASB "Commercial Banks" standard.</w:t>
      </w:r>
    </w:p>
    <w:p w14:paraId="29B26E4B" w14:textId="77777777" w:rsidR="00FB0BD3" w:rsidRPr="00FB0BD3" w:rsidRDefault="00FB0BD3" w:rsidP="00FB0BD3">
      <w:pPr>
        <w:numPr>
          <w:ilvl w:val="0"/>
          <w:numId w:val="18"/>
        </w:numPr>
        <w:rPr>
          <w:rFonts w:ascii="GHEA Grapalat" w:hAnsi="GHEA Grapalat"/>
          <w:sz w:val="24"/>
          <w:szCs w:val="24"/>
        </w:rPr>
      </w:pPr>
      <w:r w:rsidRPr="00FB0BD3">
        <w:rPr>
          <w:rFonts w:ascii="GHEA Grapalat" w:hAnsi="GHEA Grapalat"/>
          <w:sz w:val="24"/>
          <w:szCs w:val="24"/>
        </w:rPr>
        <w:t>Bilingual Drafting and Editing of the Report:</w:t>
      </w:r>
    </w:p>
    <w:p w14:paraId="3D3DFB07" w14:textId="77777777" w:rsidR="00FB0BD3" w:rsidRPr="00FB0BD3" w:rsidRDefault="00FB0BD3" w:rsidP="00FB0BD3">
      <w:pPr>
        <w:numPr>
          <w:ilvl w:val="1"/>
          <w:numId w:val="18"/>
        </w:numPr>
        <w:rPr>
          <w:rFonts w:ascii="GHEA Grapalat" w:hAnsi="GHEA Grapalat"/>
          <w:sz w:val="24"/>
          <w:szCs w:val="24"/>
        </w:rPr>
      </w:pPr>
      <w:r w:rsidRPr="00FB0BD3">
        <w:rPr>
          <w:rFonts w:ascii="GHEA Grapalat" w:hAnsi="GHEA Grapalat"/>
          <w:sz w:val="24"/>
          <w:szCs w:val="24"/>
        </w:rPr>
        <w:t>Formulating the conceptual structure, storytelling/narrative sections, and the full content of the Report in two languages: Armenian and English, properly reflecting the joint impact and synergies between the Bank and "Acba Leasing".</w:t>
      </w:r>
    </w:p>
    <w:p w14:paraId="0DD415D6" w14:textId="77777777" w:rsidR="00FB0BD3" w:rsidRPr="00FB0BD3" w:rsidRDefault="00FB0BD3" w:rsidP="00FB0BD3">
      <w:pPr>
        <w:numPr>
          <w:ilvl w:val="1"/>
          <w:numId w:val="18"/>
        </w:numPr>
        <w:rPr>
          <w:rFonts w:ascii="GHEA Grapalat" w:hAnsi="GHEA Grapalat"/>
          <w:sz w:val="24"/>
          <w:szCs w:val="24"/>
        </w:rPr>
      </w:pPr>
      <w:r w:rsidRPr="00FB0BD3">
        <w:rPr>
          <w:rFonts w:ascii="GHEA Grapalat" w:hAnsi="GHEA Grapalat"/>
          <w:sz w:val="24"/>
          <w:szCs w:val="24"/>
        </w:rPr>
        <w:t>Ensuring strict adherence to professional banking, leasing, and ESG terminology, along with high-quality linguistic and stylistic proofreading for both language versions.</w:t>
      </w:r>
    </w:p>
    <w:p w14:paraId="1C566180" w14:textId="77777777" w:rsidR="00FB0BD3" w:rsidRPr="00FB0BD3" w:rsidRDefault="00FB0BD3" w:rsidP="00FB0BD3">
      <w:pPr>
        <w:numPr>
          <w:ilvl w:val="1"/>
          <w:numId w:val="18"/>
        </w:numPr>
        <w:rPr>
          <w:rFonts w:ascii="GHEA Grapalat" w:hAnsi="GHEA Grapalat"/>
          <w:sz w:val="24"/>
          <w:szCs w:val="24"/>
        </w:rPr>
      </w:pPr>
      <w:r w:rsidRPr="00FB0BD3">
        <w:rPr>
          <w:rFonts w:ascii="GHEA Grapalat" w:hAnsi="GHEA Grapalat"/>
          <w:sz w:val="24"/>
          <w:szCs w:val="24"/>
        </w:rPr>
        <w:t>Compiling the GRI Content Index and SASB Index (Disclosure Tables) with explicit cross-references (in Armenian and English).</w:t>
      </w:r>
    </w:p>
    <w:p w14:paraId="38E72C2A" w14:textId="77777777" w:rsidR="00FB0BD3" w:rsidRPr="00FB0BD3" w:rsidRDefault="00FB0BD3" w:rsidP="00FB0BD3">
      <w:pPr>
        <w:rPr>
          <w:rFonts w:ascii="GHEA Grapalat" w:hAnsi="GHEA Grapalat"/>
          <w:b/>
          <w:bCs/>
          <w:sz w:val="28"/>
          <w:szCs w:val="28"/>
        </w:rPr>
      </w:pPr>
      <w:r w:rsidRPr="00FB0BD3">
        <w:rPr>
          <w:rFonts w:ascii="GHEA Grapalat" w:hAnsi="GHEA Grapalat"/>
          <w:b/>
          <w:bCs/>
          <w:sz w:val="28"/>
          <w:szCs w:val="28"/>
        </w:rPr>
        <w:t>3. SPECIAL CONDITION (LIMITATION)</w:t>
      </w:r>
    </w:p>
    <w:p w14:paraId="179617BC"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Under this assignment, the Contractor is NOT required to conduct a Stakeholder Engagement or Materiality Assessment. The Group's material topics and priorities have already been established by the Bank and will be provided to the Contractor as ready-to-use input data.</w:t>
      </w:r>
    </w:p>
    <w:p w14:paraId="74193DEB"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4. Optional Scope of Services (Upon Client's Request)</w:t>
      </w:r>
    </w:p>
    <w:p w14:paraId="07694A2C"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Bidders may provide a separate, itemized cost proposal for the following service, which the Bank may elect to include in the contract at its sole discretion:</w:t>
      </w:r>
    </w:p>
    <w:p w14:paraId="6D4F3FBD" w14:textId="77777777" w:rsidR="00FB0BD3" w:rsidRPr="00FB0BD3" w:rsidRDefault="00FB0BD3" w:rsidP="00FB0BD3">
      <w:pPr>
        <w:numPr>
          <w:ilvl w:val="0"/>
          <w:numId w:val="19"/>
        </w:numPr>
        <w:rPr>
          <w:rFonts w:ascii="GHEA Grapalat" w:hAnsi="GHEA Grapalat"/>
          <w:sz w:val="24"/>
          <w:szCs w:val="24"/>
        </w:rPr>
      </w:pPr>
      <w:r w:rsidRPr="00FB0BD3">
        <w:rPr>
          <w:rFonts w:ascii="GHEA Grapalat" w:hAnsi="GHEA Grapalat"/>
          <w:sz w:val="24"/>
          <w:szCs w:val="24"/>
        </w:rPr>
        <w:t>Graphic Design and Layout (Layout &amp; Design):</w:t>
      </w:r>
      <w:r w:rsidRPr="00FB0BD3">
        <w:rPr>
          <w:rFonts w:ascii="GHEA Grapalat" w:hAnsi="GHEA Grapalat"/>
          <w:sz w:val="24"/>
          <w:szCs w:val="24"/>
        </w:rPr>
        <w:br/>
        <w:t>Comprehensive visual design, typesetting/layout, and development of infographics, charts, and diagrams for both the Armenian and English versions of the Report in strict compliance with the Bank’s Brandbook (including production of high-resolution print-ready and web-optimized/interactive PDF formats).</w:t>
      </w:r>
    </w:p>
    <w:p w14:paraId="144D39FD" w14:textId="77777777" w:rsidR="00FB0BD3" w:rsidRPr="00FB0BD3" w:rsidRDefault="00FB0BD3" w:rsidP="00FB0BD3">
      <w:pPr>
        <w:rPr>
          <w:rFonts w:ascii="GHEA Grapalat" w:hAnsi="GHEA Grapalat"/>
          <w:b/>
          <w:bCs/>
          <w:sz w:val="28"/>
          <w:szCs w:val="28"/>
        </w:rPr>
      </w:pPr>
      <w:r w:rsidRPr="00FB0BD3">
        <w:rPr>
          <w:rFonts w:ascii="GHEA Grapalat" w:hAnsi="GHEA Grapalat"/>
          <w:b/>
          <w:bCs/>
          <w:sz w:val="28"/>
          <w:szCs w:val="28"/>
        </w:rPr>
        <w:t>5. Deliverables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63"/>
        <w:gridCol w:w="1184"/>
        <w:gridCol w:w="2268"/>
        <w:gridCol w:w="6195"/>
      </w:tblGrid>
      <w:tr w:rsidR="00FB0BD3" w:rsidRPr="00FB0BD3" w14:paraId="0D64E0DA" w14:textId="77777777" w:rsidTr="00FB0BD3">
        <w:trPr>
          <w:tblCellSpacing w:w="15" w:type="dxa"/>
        </w:trPr>
        <w:tc>
          <w:tcPr>
            <w:tcW w:w="0" w:type="auto"/>
            <w:vAlign w:val="center"/>
            <w:hideMark/>
          </w:tcPr>
          <w:p w14:paraId="71B649FE"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Deliverable</w:t>
            </w:r>
          </w:p>
        </w:tc>
        <w:tc>
          <w:tcPr>
            <w:tcW w:w="0" w:type="auto"/>
            <w:vAlign w:val="center"/>
            <w:hideMark/>
          </w:tcPr>
          <w:p w14:paraId="7941801E"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Status</w:t>
            </w:r>
          </w:p>
        </w:tc>
        <w:tc>
          <w:tcPr>
            <w:tcW w:w="0" w:type="auto"/>
            <w:vAlign w:val="center"/>
            <w:hideMark/>
          </w:tcPr>
          <w:p w14:paraId="60DD0000"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Title</w:t>
            </w:r>
          </w:p>
        </w:tc>
        <w:tc>
          <w:tcPr>
            <w:tcW w:w="0" w:type="auto"/>
            <w:vAlign w:val="center"/>
            <w:hideMark/>
          </w:tcPr>
          <w:p w14:paraId="1955D8A5"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Description</w:t>
            </w:r>
          </w:p>
        </w:tc>
      </w:tr>
      <w:tr w:rsidR="00FB0BD3" w:rsidRPr="00FB0BD3" w14:paraId="359AFBC5" w14:textId="77777777" w:rsidTr="00FB0BD3">
        <w:trPr>
          <w:tblCellSpacing w:w="15" w:type="dxa"/>
        </w:trPr>
        <w:tc>
          <w:tcPr>
            <w:tcW w:w="0" w:type="auto"/>
            <w:vAlign w:val="center"/>
            <w:hideMark/>
          </w:tcPr>
          <w:p w14:paraId="7212B36E"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D1</w:t>
            </w:r>
          </w:p>
        </w:tc>
        <w:tc>
          <w:tcPr>
            <w:tcW w:w="0" w:type="auto"/>
            <w:vAlign w:val="center"/>
            <w:hideMark/>
          </w:tcPr>
          <w:p w14:paraId="527A718E"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Mandatory</w:t>
            </w:r>
          </w:p>
        </w:tc>
        <w:tc>
          <w:tcPr>
            <w:tcW w:w="0" w:type="auto"/>
            <w:vAlign w:val="center"/>
            <w:hideMark/>
          </w:tcPr>
          <w:p w14:paraId="3E633252"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Data Collection Toolkit</w:t>
            </w:r>
          </w:p>
        </w:tc>
        <w:tc>
          <w:tcPr>
            <w:tcW w:w="0" w:type="auto"/>
            <w:vAlign w:val="center"/>
            <w:hideMark/>
          </w:tcPr>
          <w:p w14:paraId="7E8E568B"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Customized data collection templates (Excel) for internal departments of the Bank and "Acba Leasing"</w:t>
            </w:r>
          </w:p>
        </w:tc>
      </w:tr>
      <w:tr w:rsidR="00FB0BD3" w:rsidRPr="00FB0BD3" w14:paraId="04B696B9" w14:textId="77777777" w:rsidTr="00FB0BD3">
        <w:trPr>
          <w:tblCellSpacing w:w="15" w:type="dxa"/>
        </w:trPr>
        <w:tc>
          <w:tcPr>
            <w:tcW w:w="0" w:type="auto"/>
            <w:vAlign w:val="center"/>
            <w:hideMark/>
          </w:tcPr>
          <w:p w14:paraId="15B9965A"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D2</w:t>
            </w:r>
          </w:p>
        </w:tc>
        <w:tc>
          <w:tcPr>
            <w:tcW w:w="0" w:type="auto"/>
            <w:vAlign w:val="center"/>
            <w:hideMark/>
          </w:tcPr>
          <w:p w14:paraId="0BC9AFC0"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Mandatory</w:t>
            </w:r>
          </w:p>
        </w:tc>
        <w:tc>
          <w:tcPr>
            <w:tcW w:w="0" w:type="auto"/>
            <w:vAlign w:val="center"/>
            <w:hideMark/>
          </w:tcPr>
          <w:p w14:paraId="5367FCF1"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GHG Scope 1 &amp; 2 Verification Report</w:t>
            </w:r>
          </w:p>
        </w:tc>
        <w:tc>
          <w:tcPr>
            <w:tcW w:w="0" w:type="auto"/>
            <w:vAlign w:val="center"/>
            <w:hideMark/>
          </w:tcPr>
          <w:p w14:paraId="575F7920"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Professional statement/report verifying and validating the Scope 1 &amp; 2 emissions calculated by the Bank and "Acba Leasing"</w:t>
            </w:r>
          </w:p>
        </w:tc>
      </w:tr>
      <w:tr w:rsidR="00FB0BD3" w:rsidRPr="00FB0BD3" w14:paraId="5207B1BE" w14:textId="77777777" w:rsidTr="00FB0BD3">
        <w:trPr>
          <w:tblCellSpacing w:w="15" w:type="dxa"/>
        </w:trPr>
        <w:tc>
          <w:tcPr>
            <w:tcW w:w="0" w:type="auto"/>
            <w:vAlign w:val="center"/>
            <w:hideMark/>
          </w:tcPr>
          <w:p w14:paraId="6BC0DF5E"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lastRenderedPageBreak/>
              <w:t>D3</w:t>
            </w:r>
          </w:p>
        </w:tc>
        <w:tc>
          <w:tcPr>
            <w:tcW w:w="0" w:type="auto"/>
            <w:vAlign w:val="center"/>
            <w:hideMark/>
          </w:tcPr>
          <w:p w14:paraId="614600C6"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Mandatory</w:t>
            </w:r>
          </w:p>
        </w:tc>
        <w:tc>
          <w:tcPr>
            <w:tcW w:w="0" w:type="auto"/>
            <w:vAlign w:val="center"/>
            <w:hideMark/>
          </w:tcPr>
          <w:p w14:paraId="55988DDC"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Draft Report (First Draft)</w:t>
            </w:r>
          </w:p>
        </w:tc>
        <w:tc>
          <w:tcPr>
            <w:tcW w:w="0" w:type="auto"/>
            <w:vAlign w:val="center"/>
            <w:hideMark/>
          </w:tcPr>
          <w:p w14:paraId="58871A45"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Complete consolidated draft report covering 2026 data and narrative in Armenian and English</w:t>
            </w:r>
          </w:p>
        </w:tc>
      </w:tr>
      <w:tr w:rsidR="00FB0BD3" w:rsidRPr="00FB0BD3" w14:paraId="0AD7E544" w14:textId="77777777" w:rsidTr="00FB0BD3">
        <w:trPr>
          <w:tblCellSpacing w:w="15" w:type="dxa"/>
        </w:trPr>
        <w:tc>
          <w:tcPr>
            <w:tcW w:w="0" w:type="auto"/>
            <w:vAlign w:val="center"/>
            <w:hideMark/>
          </w:tcPr>
          <w:p w14:paraId="0C3A965A"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D4</w:t>
            </w:r>
          </w:p>
        </w:tc>
        <w:tc>
          <w:tcPr>
            <w:tcW w:w="0" w:type="auto"/>
            <w:vAlign w:val="center"/>
            <w:hideMark/>
          </w:tcPr>
          <w:p w14:paraId="3EA6A362"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Mandatory</w:t>
            </w:r>
          </w:p>
        </w:tc>
        <w:tc>
          <w:tcPr>
            <w:tcW w:w="0" w:type="auto"/>
            <w:vAlign w:val="center"/>
            <w:hideMark/>
          </w:tcPr>
          <w:p w14:paraId="19D6B248"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Final Approved Text (Final Draft)</w:t>
            </w:r>
          </w:p>
        </w:tc>
        <w:tc>
          <w:tcPr>
            <w:tcW w:w="0" w:type="auto"/>
            <w:vAlign w:val="center"/>
            <w:hideMark/>
          </w:tcPr>
          <w:p w14:paraId="5C82392A"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Finalized text incorporating the Client's feedback, along with the GRI Content Index and SASB Index in Armenian and English</w:t>
            </w:r>
          </w:p>
        </w:tc>
      </w:tr>
      <w:tr w:rsidR="00FB0BD3" w:rsidRPr="00FB0BD3" w14:paraId="24DE2B36" w14:textId="77777777" w:rsidTr="00FB0BD3">
        <w:trPr>
          <w:tblCellSpacing w:w="15" w:type="dxa"/>
        </w:trPr>
        <w:tc>
          <w:tcPr>
            <w:tcW w:w="0" w:type="auto"/>
            <w:vAlign w:val="center"/>
            <w:hideMark/>
          </w:tcPr>
          <w:p w14:paraId="17830F7D"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D5</w:t>
            </w:r>
          </w:p>
        </w:tc>
        <w:tc>
          <w:tcPr>
            <w:tcW w:w="0" w:type="auto"/>
            <w:vAlign w:val="center"/>
            <w:hideMark/>
          </w:tcPr>
          <w:p w14:paraId="19F5E137"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Optional</w:t>
            </w:r>
          </w:p>
        </w:tc>
        <w:tc>
          <w:tcPr>
            <w:tcW w:w="0" w:type="auto"/>
            <w:vAlign w:val="center"/>
            <w:hideMark/>
          </w:tcPr>
          <w:p w14:paraId="08CDB44E"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Designed PDF Version</w:t>
            </w:r>
          </w:p>
        </w:tc>
        <w:tc>
          <w:tcPr>
            <w:tcW w:w="0" w:type="auto"/>
            <w:vAlign w:val="center"/>
            <w:hideMark/>
          </w:tcPr>
          <w:p w14:paraId="568AC616"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Professionally designed Report ready for print and online publication (Armenian and English)</w:t>
            </w:r>
          </w:p>
        </w:tc>
      </w:tr>
    </w:tbl>
    <w:p w14:paraId="7A2C7BB3" w14:textId="77777777" w:rsidR="00FB0BD3" w:rsidRPr="00FB0BD3" w:rsidRDefault="00FB0BD3" w:rsidP="00FB0BD3">
      <w:pPr>
        <w:rPr>
          <w:rFonts w:ascii="GHEA Grapalat" w:hAnsi="GHEA Grapalat"/>
          <w:b/>
          <w:bCs/>
          <w:sz w:val="28"/>
          <w:szCs w:val="28"/>
        </w:rPr>
      </w:pPr>
      <w:r w:rsidRPr="00FB0BD3">
        <w:rPr>
          <w:rFonts w:ascii="GHEA Grapalat" w:hAnsi="GHEA Grapalat"/>
          <w:b/>
          <w:bCs/>
          <w:sz w:val="28"/>
          <w:szCs w:val="28"/>
        </w:rPr>
        <w:t>6. Minimum Qualification Requirements for the Contractor</w:t>
      </w:r>
    </w:p>
    <w:p w14:paraId="17926E00"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Bidding companies must meet the following mandatory qualification criteria:</w:t>
      </w:r>
    </w:p>
    <w:p w14:paraId="6792C619" w14:textId="77777777" w:rsidR="00FB0BD3" w:rsidRPr="00FB0BD3" w:rsidRDefault="00FB0BD3" w:rsidP="00FB0BD3">
      <w:pPr>
        <w:numPr>
          <w:ilvl w:val="0"/>
          <w:numId w:val="20"/>
        </w:numPr>
        <w:rPr>
          <w:rFonts w:ascii="GHEA Grapalat" w:hAnsi="GHEA Grapalat"/>
          <w:sz w:val="24"/>
          <w:szCs w:val="24"/>
        </w:rPr>
      </w:pPr>
      <w:r w:rsidRPr="00FB0BD3">
        <w:rPr>
          <w:rFonts w:ascii="GHEA Grapalat" w:hAnsi="GHEA Grapalat"/>
          <w:sz w:val="24"/>
          <w:szCs w:val="24"/>
        </w:rPr>
        <w:t>Professional Track Record:</w:t>
      </w:r>
      <w:r w:rsidRPr="00FB0BD3">
        <w:rPr>
          <w:rFonts w:ascii="GHEA Grapalat" w:hAnsi="GHEA Grapalat"/>
          <w:sz w:val="24"/>
          <w:szCs w:val="24"/>
        </w:rPr>
        <w:br/>
        <w:t>The company or its proposed expert team must have proven experience in successfully preparing and publishing at least 1 (one) complete Sustainability Report (a link to the published report or a client reference letter must be submitted).</w:t>
      </w:r>
    </w:p>
    <w:p w14:paraId="04C68D98" w14:textId="77777777" w:rsidR="00FB0BD3" w:rsidRPr="00FB0BD3" w:rsidRDefault="00FB0BD3" w:rsidP="00FB0BD3">
      <w:pPr>
        <w:numPr>
          <w:ilvl w:val="0"/>
          <w:numId w:val="20"/>
        </w:numPr>
        <w:rPr>
          <w:rFonts w:ascii="GHEA Grapalat" w:hAnsi="GHEA Grapalat"/>
          <w:sz w:val="24"/>
          <w:szCs w:val="24"/>
        </w:rPr>
      </w:pPr>
      <w:r w:rsidRPr="00FB0BD3">
        <w:rPr>
          <w:rFonts w:ascii="GHEA Grapalat" w:hAnsi="GHEA Grapalat"/>
          <w:sz w:val="24"/>
          <w:szCs w:val="24"/>
        </w:rPr>
        <w:t>Standards and GHG Accounting Expertise:</w:t>
      </w:r>
      <w:r w:rsidRPr="00FB0BD3">
        <w:rPr>
          <w:rFonts w:ascii="GHEA Grapalat" w:hAnsi="GHEA Grapalat"/>
          <w:sz w:val="24"/>
          <w:szCs w:val="24"/>
        </w:rPr>
        <w:br/>
        <w:t>Demonstrated practical expertise in the application of GRI Standards and SASB Standards, as well as experience in reviewing, verifying, or auditing greenhouse gas (GHG Protocol) emissions calculations.</w:t>
      </w:r>
    </w:p>
    <w:p w14:paraId="5032B1E5" w14:textId="77777777" w:rsidR="00FB0BD3" w:rsidRPr="00FB0BD3" w:rsidRDefault="00FB0BD3" w:rsidP="00FB0BD3">
      <w:pPr>
        <w:numPr>
          <w:ilvl w:val="0"/>
          <w:numId w:val="20"/>
        </w:numPr>
        <w:rPr>
          <w:rFonts w:ascii="GHEA Grapalat" w:hAnsi="GHEA Grapalat"/>
          <w:sz w:val="24"/>
          <w:szCs w:val="24"/>
        </w:rPr>
      </w:pPr>
      <w:r w:rsidRPr="00FB0BD3">
        <w:rPr>
          <w:rFonts w:ascii="GHEA Grapalat" w:hAnsi="GHEA Grapalat"/>
          <w:sz w:val="24"/>
          <w:szCs w:val="24"/>
        </w:rPr>
        <w:t>Financial Sector Understanding:</w:t>
      </w:r>
      <w:r w:rsidRPr="00FB0BD3">
        <w:rPr>
          <w:rFonts w:ascii="GHEA Grapalat" w:hAnsi="GHEA Grapalat"/>
          <w:sz w:val="24"/>
          <w:szCs w:val="24"/>
        </w:rPr>
        <w:br/>
        <w:t>In-depth understanding of the commercial banking and leasing sectors, portfolio-level operations, and financial institutions' ESG risks and disclosure expectations.</w:t>
      </w:r>
    </w:p>
    <w:p w14:paraId="43DF8871" w14:textId="77777777" w:rsidR="00FB0BD3" w:rsidRPr="00FB0BD3" w:rsidRDefault="00FB0BD3" w:rsidP="00FB0BD3">
      <w:pPr>
        <w:numPr>
          <w:ilvl w:val="0"/>
          <w:numId w:val="20"/>
        </w:numPr>
        <w:rPr>
          <w:rFonts w:ascii="GHEA Grapalat" w:hAnsi="GHEA Grapalat"/>
          <w:sz w:val="24"/>
          <w:szCs w:val="24"/>
        </w:rPr>
      </w:pPr>
      <w:r w:rsidRPr="00FB0BD3">
        <w:rPr>
          <w:rFonts w:ascii="GHEA Grapalat" w:hAnsi="GHEA Grapalat"/>
          <w:sz w:val="24"/>
          <w:szCs w:val="24"/>
        </w:rPr>
        <w:t>Linguistic Proficiency:</w:t>
      </w:r>
      <w:r w:rsidRPr="00FB0BD3">
        <w:rPr>
          <w:rFonts w:ascii="GHEA Grapalat" w:hAnsi="GHEA Grapalat"/>
          <w:sz w:val="24"/>
          <w:szCs w:val="24"/>
        </w:rPr>
        <w:br/>
        <w:t>Proven capability to draft, translate, and professionally proofread technical texts in Armenian and English on banking, finance, and ESG matters.</w:t>
      </w:r>
    </w:p>
    <w:p w14:paraId="71822041" w14:textId="77777777" w:rsidR="00FB0BD3" w:rsidRPr="00FB0BD3" w:rsidRDefault="00FB0BD3" w:rsidP="00FB0BD3">
      <w:pPr>
        <w:rPr>
          <w:rFonts w:ascii="GHEA Grapalat" w:hAnsi="GHEA Grapalat"/>
          <w:b/>
          <w:bCs/>
          <w:sz w:val="28"/>
          <w:szCs w:val="28"/>
        </w:rPr>
      </w:pPr>
      <w:r w:rsidRPr="00FB0BD3">
        <w:rPr>
          <w:rFonts w:ascii="GHEA Grapalat" w:hAnsi="GHEA Grapalat"/>
          <w:b/>
          <w:bCs/>
          <w:sz w:val="28"/>
          <w:szCs w:val="28"/>
        </w:rPr>
        <w:t>7. Services Schedule</w:t>
      </w:r>
    </w:p>
    <w:p w14:paraId="281C4936"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The provision of Services shall commence upon signing of the Contract and receipt of the initial information provided by the Bank, and shall be fully completed no later than May 30, 2027 inclusive.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18"/>
        <w:gridCol w:w="7359"/>
        <w:gridCol w:w="2733"/>
      </w:tblGrid>
      <w:tr w:rsidR="00FB0BD3" w:rsidRPr="00FB0BD3" w14:paraId="6514A2DA" w14:textId="77777777" w:rsidTr="00FB0BD3">
        <w:trPr>
          <w:tblCellSpacing w:w="15" w:type="dxa"/>
        </w:trPr>
        <w:tc>
          <w:tcPr>
            <w:tcW w:w="0" w:type="auto"/>
            <w:vAlign w:val="center"/>
            <w:hideMark/>
          </w:tcPr>
          <w:p w14:paraId="60317029"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Phase</w:t>
            </w:r>
          </w:p>
        </w:tc>
        <w:tc>
          <w:tcPr>
            <w:tcW w:w="0" w:type="auto"/>
            <w:vAlign w:val="center"/>
            <w:hideMark/>
          </w:tcPr>
          <w:p w14:paraId="63A8C30A"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Activity</w:t>
            </w:r>
          </w:p>
        </w:tc>
        <w:tc>
          <w:tcPr>
            <w:tcW w:w="0" w:type="auto"/>
            <w:vAlign w:val="center"/>
            <w:hideMark/>
          </w:tcPr>
          <w:p w14:paraId="5C4F30EC"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Target Deadline</w:t>
            </w:r>
          </w:p>
        </w:tc>
      </w:tr>
      <w:tr w:rsidR="00FB0BD3" w:rsidRPr="00FB0BD3" w14:paraId="57E84276" w14:textId="77777777" w:rsidTr="00FB0BD3">
        <w:trPr>
          <w:tblCellSpacing w:w="15" w:type="dxa"/>
        </w:trPr>
        <w:tc>
          <w:tcPr>
            <w:tcW w:w="0" w:type="auto"/>
            <w:vAlign w:val="center"/>
            <w:hideMark/>
          </w:tcPr>
          <w:p w14:paraId="63B86C38"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Phase 1</w:t>
            </w:r>
          </w:p>
        </w:tc>
        <w:tc>
          <w:tcPr>
            <w:tcW w:w="0" w:type="auto"/>
            <w:vAlign w:val="center"/>
            <w:hideMark/>
          </w:tcPr>
          <w:p w14:paraId="351C972E"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Project inception, development of data collection templates for the Bank and "Acba Leasing"</w:t>
            </w:r>
          </w:p>
        </w:tc>
        <w:tc>
          <w:tcPr>
            <w:tcW w:w="0" w:type="auto"/>
            <w:vAlign w:val="center"/>
            <w:hideMark/>
          </w:tcPr>
          <w:p w14:paraId="24E09CB3"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Within 15 business days of contract signing</w:t>
            </w:r>
          </w:p>
        </w:tc>
      </w:tr>
      <w:tr w:rsidR="00FB0BD3" w:rsidRPr="00FB0BD3" w14:paraId="7DAAA29B" w14:textId="77777777" w:rsidTr="00FB0BD3">
        <w:trPr>
          <w:tblCellSpacing w:w="15" w:type="dxa"/>
        </w:trPr>
        <w:tc>
          <w:tcPr>
            <w:tcW w:w="0" w:type="auto"/>
            <w:vAlign w:val="center"/>
            <w:hideMark/>
          </w:tcPr>
          <w:p w14:paraId="044A94FE"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Phase 2</w:t>
            </w:r>
          </w:p>
        </w:tc>
        <w:tc>
          <w:tcPr>
            <w:tcW w:w="0" w:type="auto"/>
            <w:vAlign w:val="center"/>
            <w:hideMark/>
          </w:tcPr>
          <w:p w14:paraId="3C428BDF"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Data consolidation, GHG Scope 1 &amp; 2 verification, SASB metrics alignment, and submission of the First Draft (Armenian &amp; English)</w:t>
            </w:r>
          </w:p>
        </w:tc>
        <w:tc>
          <w:tcPr>
            <w:tcW w:w="0" w:type="auto"/>
            <w:vAlign w:val="center"/>
            <w:hideMark/>
          </w:tcPr>
          <w:p w14:paraId="5FFCBB4F"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By March 31, 2027</w:t>
            </w:r>
          </w:p>
        </w:tc>
      </w:tr>
      <w:tr w:rsidR="00FB0BD3" w:rsidRPr="00FB0BD3" w14:paraId="0319FC63" w14:textId="77777777" w:rsidTr="00FB0BD3">
        <w:trPr>
          <w:tblCellSpacing w:w="15" w:type="dxa"/>
        </w:trPr>
        <w:tc>
          <w:tcPr>
            <w:tcW w:w="0" w:type="auto"/>
            <w:vAlign w:val="center"/>
            <w:hideMark/>
          </w:tcPr>
          <w:p w14:paraId="162D1D81"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 xml:space="preserve">Phase </w:t>
            </w:r>
            <w:r w:rsidRPr="00FB0BD3">
              <w:rPr>
                <w:rFonts w:ascii="GHEA Grapalat" w:hAnsi="GHEA Grapalat"/>
                <w:sz w:val="24"/>
                <w:szCs w:val="24"/>
              </w:rPr>
              <w:lastRenderedPageBreak/>
              <w:t>3</w:t>
            </w:r>
          </w:p>
        </w:tc>
        <w:tc>
          <w:tcPr>
            <w:tcW w:w="0" w:type="auto"/>
            <w:vAlign w:val="center"/>
            <w:hideMark/>
          </w:tcPr>
          <w:p w14:paraId="5BD1A7D1"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lastRenderedPageBreak/>
              <w:t xml:space="preserve">Integration of Client comments, bilingual text finalization, compilation </w:t>
            </w:r>
            <w:r w:rsidRPr="00FB0BD3">
              <w:rPr>
                <w:rFonts w:ascii="GHEA Grapalat" w:hAnsi="GHEA Grapalat"/>
                <w:sz w:val="24"/>
                <w:szCs w:val="24"/>
              </w:rPr>
              <w:lastRenderedPageBreak/>
              <w:t>of GRI and SASB indexes</w:t>
            </w:r>
          </w:p>
        </w:tc>
        <w:tc>
          <w:tcPr>
            <w:tcW w:w="0" w:type="auto"/>
            <w:vAlign w:val="center"/>
            <w:hideMark/>
          </w:tcPr>
          <w:p w14:paraId="151FE17C"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lastRenderedPageBreak/>
              <w:t>By April 30, 2027</w:t>
            </w:r>
          </w:p>
        </w:tc>
      </w:tr>
      <w:tr w:rsidR="00FB0BD3" w:rsidRPr="00FB0BD3" w14:paraId="7F57905F" w14:textId="77777777" w:rsidTr="00FB0BD3">
        <w:trPr>
          <w:tblCellSpacing w:w="15" w:type="dxa"/>
        </w:trPr>
        <w:tc>
          <w:tcPr>
            <w:tcW w:w="0" w:type="auto"/>
            <w:vAlign w:val="center"/>
            <w:hideMark/>
          </w:tcPr>
          <w:p w14:paraId="16F40722"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Phase 4</w:t>
            </w:r>
          </w:p>
        </w:tc>
        <w:tc>
          <w:tcPr>
            <w:tcW w:w="0" w:type="auto"/>
            <w:vAlign w:val="center"/>
            <w:hideMark/>
          </w:tcPr>
          <w:p w14:paraId="2AC25A6E" w14:textId="77777777" w:rsidR="00FB0BD3" w:rsidRPr="00FB0BD3" w:rsidRDefault="00FB0BD3" w:rsidP="00FB0BD3">
            <w:pPr>
              <w:rPr>
                <w:rFonts w:ascii="GHEA Grapalat" w:hAnsi="GHEA Grapalat"/>
                <w:sz w:val="24"/>
                <w:szCs w:val="24"/>
              </w:rPr>
            </w:pPr>
            <w:r w:rsidRPr="00FB0BD3">
              <w:rPr>
                <w:rFonts w:ascii="GHEA Grapalat" w:hAnsi="GHEA Grapalat"/>
                <w:i/>
                <w:iCs/>
                <w:sz w:val="24"/>
                <w:szCs w:val="24"/>
              </w:rPr>
              <w:t>(If applicable)</w:t>
            </w:r>
            <w:r w:rsidRPr="00FB0BD3">
              <w:rPr>
                <w:rFonts w:ascii="GHEA Grapalat" w:hAnsi="GHEA Grapalat"/>
                <w:sz w:val="24"/>
                <w:szCs w:val="24"/>
              </w:rPr>
              <w:t xml:space="preserve"> Finalization of Graphic Design and Layout, final acceptance and sign-off</w:t>
            </w:r>
          </w:p>
        </w:tc>
        <w:tc>
          <w:tcPr>
            <w:tcW w:w="0" w:type="auto"/>
            <w:vAlign w:val="center"/>
            <w:hideMark/>
          </w:tcPr>
          <w:p w14:paraId="7D13E57B"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By May 30, 2027</w:t>
            </w:r>
          </w:p>
        </w:tc>
      </w:tr>
    </w:tbl>
    <w:p w14:paraId="5D4A93E8" w14:textId="77777777" w:rsidR="00FB0BD3" w:rsidRPr="00FB0BD3" w:rsidRDefault="00FB0BD3" w:rsidP="00FB0BD3">
      <w:pPr>
        <w:rPr>
          <w:rFonts w:ascii="GHEA Grapalat" w:hAnsi="GHEA Grapalat"/>
          <w:b/>
          <w:bCs/>
          <w:sz w:val="28"/>
          <w:szCs w:val="28"/>
        </w:rPr>
      </w:pPr>
      <w:r w:rsidRPr="00FB0BD3">
        <w:rPr>
          <w:rFonts w:ascii="GHEA Grapalat" w:hAnsi="GHEA Grapalat"/>
          <w:b/>
          <w:bCs/>
          <w:sz w:val="28"/>
          <w:szCs w:val="28"/>
        </w:rPr>
        <w:t>8. Financial Proposal Structure</w:t>
      </w:r>
    </w:p>
    <w:p w14:paraId="11190DD1" w14:textId="77777777" w:rsidR="00FB0BD3" w:rsidRPr="00FB0BD3" w:rsidRDefault="00FB0BD3" w:rsidP="00FB0BD3">
      <w:pPr>
        <w:rPr>
          <w:rFonts w:ascii="GHEA Grapalat" w:hAnsi="GHEA Grapalat"/>
          <w:sz w:val="24"/>
          <w:szCs w:val="24"/>
        </w:rPr>
      </w:pPr>
      <w:r w:rsidRPr="00FB0BD3">
        <w:rPr>
          <w:rFonts w:ascii="GHEA Grapalat" w:hAnsi="GHEA Grapalat"/>
          <w:sz w:val="24"/>
          <w:szCs w:val="24"/>
        </w:rPr>
        <w:t>Bidders will be required to submit their financial quotes in the following structured format:</w:t>
      </w:r>
    </w:p>
    <w:p w14:paraId="0933B8EF" w14:textId="77777777" w:rsidR="00FB0BD3" w:rsidRPr="00FB0BD3" w:rsidRDefault="00FB0BD3" w:rsidP="00FB0BD3">
      <w:pPr>
        <w:numPr>
          <w:ilvl w:val="0"/>
          <w:numId w:val="21"/>
        </w:numPr>
        <w:rPr>
          <w:rFonts w:ascii="GHEA Grapalat" w:hAnsi="GHEA Grapalat"/>
          <w:sz w:val="24"/>
          <w:szCs w:val="24"/>
        </w:rPr>
      </w:pPr>
      <w:r w:rsidRPr="00FB0BD3">
        <w:rPr>
          <w:rFonts w:ascii="GHEA Grapalat" w:hAnsi="GHEA Grapalat"/>
          <w:sz w:val="24"/>
          <w:szCs w:val="24"/>
        </w:rPr>
        <w:t>Base Proposal (Mandatory): Consultancy fee for the bilingual (Armenian and English) preparation of the 2026 Sustainability Report (GRI + SASB for the Bank and "Acba Leasing") and the verification of GHG Scope 1 &amp; 2 emissions.</w:t>
      </w:r>
    </w:p>
    <w:p w14:paraId="204A7088" w14:textId="77777777" w:rsidR="00FB0BD3" w:rsidRPr="00FB0BD3" w:rsidRDefault="00FB0BD3" w:rsidP="00FB0BD3">
      <w:pPr>
        <w:numPr>
          <w:ilvl w:val="0"/>
          <w:numId w:val="21"/>
        </w:numPr>
        <w:rPr>
          <w:rFonts w:ascii="GHEA Grapalat" w:hAnsi="GHEA Grapalat"/>
          <w:sz w:val="24"/>
          <w:szCs w:val="24"/>
        </w:rPr>
      </w:pPr>
      <w:r w:rsidRPr="00FB0BD3">
        <w:rPr>
          <w:rFonts w:ascii="GHEA Grapalat" w:hAnsi="GHEA Grapalat"/>
          <w:sz w:val="24"/>
          <w:szCs w:val="24"/>
        </w:rPr>
        <w:t>Additional Proposal (Optional): Graphic design, typesetting, and layout services for both the Armenian and English versions.</w:t>
      </w:r>
    </w:p>
    <w:sectPr w:rsidR="00FB0BD3" w:rsidRPr="00FB0BD3" w:rsidSect="0086560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HEA Grapalat">
    <w:panose1 w:val="02000506050000020003"/>
    <w:charset w:val="00"/>
    <w:family w:val="modern"/>
    <w:notTrueType/>
    <w:pitch w:val="variable"/>
    <w:sig w:usb0="A00006AF" w:usb1="50002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6751"/>
    <w:multiLevelType w:val="multilevel"/>
    <w:tmpl w:val="9566D5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063C0"/>
    <w:multiLevelType w:val="multilevel"/>
    <w:tmpl w:val="0B60D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75CE5"/>
    <w:multiLevelType w:val="multilevel"/>
    <w:tmpl w:val="2E8C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563CB7"/>
    <w:multiLevelType w:val="multilevel"/>
    <w:tmpl w:val="0E703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720547"/>
    <w:multiLevelType w:val="multilevel"/>
    <w:tmpl w:val="5966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49686F"/>
    <w:multiLevelType w:val="multilevel"/>
    <w:tmpl w:val="92F08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580DA4"/>
    <w:multiLevelType w:val="multilevel"/>
    <w:tmpl w:val="E4BA5C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C24509"/>
    <w:multiLevelType w:val="multilevel"/>
    <w:tmpl w:val="69742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223063"/>
    <w:multiLevelType w:val="multilevel"/>
    <w:tmpl w:val="0826D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C312ABB"/>
    <w:multiLevelType w:val="multilevel"/>
    <w:tmpl w:val="FDECD7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39367FC"/>
    <w:multiLevelType w:val="multilevel"/>
    <w:tmpl w:val="E9E6BE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7116BA"/>
    <w:multiLevelType w:val="multilevel"/>
    <w:tmpl w:val="300209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8D5108"/>
    <w:multiLevelType w:val="multilevel"/>
    <w:tmpl w:val="E1CA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A20F4C"/>
    <w:multiLevelType w:val="multilevel"/>
    <w:tmpl w:val="F36C2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BEC1B01"/>
    <w:multiLevelType w:val="multilevel"/>
    <w:tmpl w:val="6F0E0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B5A53"/>
    <w:multiLevelType w:val="multilevel"/>
    <w:tmpl w:val="B4EC37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ED2EE8"/>
    <w:multiLevelType w:val="multilevel"/>
    <w:tmpl w:val="921CDE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BD5FE4"/>
    <w:multiLevelType w:val="multilevel"/>
    <w:tmpl w:val="E18C74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E2576D"/>
    <w:multiLevelType w:val="multilevel"/>
    <w:tmpl w:val="4D5899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851A40"/>
    <w:multiLevelType w:val="multilevel"/>
    <w:tmpl w:val="5DE0C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C9F31DD"/>
    <w:multiLevelType w:val="multilevel"/>
    <w:tmpl w:val="361AD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2247402">
    <w:abstractNumId w:val="11"/>
  </w:num>
  <w:num w:numId="2" w16cid:durableId="556821026">
    <w:abstractNumId w:val="19"/>
  </w:num>
  <w:num w:numId="3" w16cid:durableId="882911400">
    <w:abstractNumId w:val="12"/>
  </w:num>
  <w:num w:numId="4" w16cid:durableId="1234584613">
    <w:abstractNumId w:val="6"/>
  </w:num>
  <w:num w:numId="5" w16cid:durableId="846870861">
    <w:abstractNumId w:val="4"/>
  </w:num>
  <w:num w:numId="6" w16cid:durableId="2078816364">
    <w:abstractNumId w:val="16"/>
  </w:num>
  <w:num w:numId="7" w16cid:durableId="238559414">
    <w:abstractNumId w:val="10"/>
  </w:num>
  <w:num w:numId="8" w16cid:durableId="2042045923">
    <w:abstractNumId w:val="5"/>
  </w:num>
  <w:num w:numId="9" w16cid:durableId="2709583">
    <w:abstractNumId w:val="17"/>
  </w:num>
  <w:num w:numId="10" w16cid:durableId="1533417508">
    <w:abstractNumId w:val="20"/>
  </w:num>
  <w:num w:numId="11" w16cid:durableId="1558315927">
    <w:abstractNumId w:val="13"/>
  </w:num>
  <w:num w:numId="12" w16cid:durableId="598636601">
    <w:abstractNumId w:val="15"/>
  </w:num>
  <w:num w:numId="13" w16cid:durableId="1825075408">
    <w:abstractNumId w:val="18"/>
  </w:num>
  <w:num w:numId="14" w16cid:durableId="349307879">
    <w:abstractNumId w:val="3"/>
  </w:num>
  <w:num w:numId="15" w16cid:durableId="144665460">
    <w:abstractNumId w:val="14"/>
  </w:num>
  <w:num w:numId="16" w16cid:durableId="825515327">
    <w:abstractNumId w:val="1"/>
  </w:num>
  <w:num w:numId="17" w16cid:durableId="1540971437">
    <w:abstractNumId w:val="0"/>
  </w:num>
  <w:num w:numId="18" w16cid:durableId="386881829">
    <w:abstractNumId w:val="9"/>
  </w:num>
  <w:num w:numId="19" w16cid:durableId="1702589080">
    <w:abstractNumId w:val="7"/>
  </w:num>
  <w:num w:numId="20" w16cid:durableId="53940162">
    <w:abstractNumId w:val="8"/>
  </w:num>
  <w:num w:numId="21" w16cid:durableId="1011914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141"/>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608"/>
    <w:rsid w:val="0007709B"/>
    <w:rsid w:val="00122804"/>
    <w:rsid w:val="00131673"/>
    <w:rsid w:val="00137CA6"/>
    <w:rsid w:val="001418B9"/>
    <w:rsid w:val="00494A67"/>
    <w:rsid w:val="00681A3A"/>
    <w:rsid w:val="00710ADC"/>
    <w:rsid w:val="0073239E"/>
    <w:rsid w:val="007332BA"/>
    <w:rsid w:val="00756494"/>
    <w:rsid w:val="00786FEA"/>
    <w:rsid w:val="007F782A"/>
    <w:rsid w:val="00865608"/>
    <w:rsid w:val="00871BD7"/>
    <w:rsid w:val="008D4F03"/>
    <w:rsid w:val="0090094A"/>
    <w:rsid w:val="009273E0"/>
    <w:rsid w:val="00B266EF"/>
    <w:rsid w:val="00B51AA9"/>
    <w:rsid w:val="00BD3880"/>
    <w:rsid w:val="00D51E2F"/>
    <w:rsid w:val="00DA740B"/>
    <w:rsid w:val="00DD48B7"/>
    <w:rsid w:val="00DF486A"/>
    <w:rsid w:val="00E25AAC"/>
    <w:rsid w:val="00E347CC"/>
    <w:rsid w:val="00E45F75"/>
    <w:rsid w:val="00E61CBC"/>
    <w:rsid w:val="00EC7139"/>
    <w:rsid w:val="00FB0B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87628"/>
  <w15:chartTrackingRefBased/>
  <w15:docId w15:val="{78F77208-A43C-4795-8C41-D8505815E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y-AM"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560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6560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65608"/>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65608"/>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65608"/>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656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56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56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56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608"/>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6560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65608"/>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65608"/>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65608"/>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656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56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56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5608"/>
    <w:rPr>
      <w:rFonts w:eastAsiaTheme="majorEastAsia" w:cstheme="majorBidi"/>
      <w:color w:val="272727" w:themeColor="text1" w:themeTint="D8"/>
    </w:rPr>
  </w:style>
  <w:style w:type="paragraph" w:styleId="Title">
    <w:name w:val="Title"/>
    <w:basedOn w:val="Normal"/>
    <w:next w:val="Normal"/>
    <w:link w:val="TitleChar"/>
    <w:uiPriority w:val="10"/>
    <w:qFormat/>
    <w:rsid w:val="008656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56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56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56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5608"/>
    <w:pPr>
      <w:spacing w:before="160"/>
      <w:jc w:val="center"/>
    </w:pPr>
    <w:rPr>
      <w:i/>
      <w:iCs/>
      <w:color w:val="404040" w:themeColor="text1" w:themeTint="BF"/>
    </w:rPr>
  </w:style>
  <w:style w:type="character" w:customStyle="1" w:styleId="QuoteChar">
    <w:name w:val="Quote Char"/>
    <w:basedOn w:val="DefaultParagraphFont"/>
    <w:link w:val="Quote"/>
    <w:uiPriority w:val="29"/>
    <w:rsid w:val="00865608"/>
    <w:rPr>
      <w:i/>
      <w:iCs/>
      <w:color w:val="404040" w:themeColor="text1" w:themeTint="BF"/>
    </w:rPr>
  </w:style>
  <w:style w:type="paragraph" w:styleId="ListParagraph">
    <w:name w:val="List Paragraph"/>
    <w:basedOn w:val="Normal"/>
    <w:uiPriority w:val="34"/>
    <w:qFormat/>
    <w:rsid w:val="00865608"/>
    <w:pPr>
      <w:ind w:left="720"/>
      <w:contextualSpacing/>
    </w:pPr>
  </w:style>
  <w:style w:type="character" w:styleId="IntenseEmphasis">
    <w:name w:val="Intense Emphasis"/>
    <w:basedOn w:val="DefaultParagraphFont"/>
    <w:uiPriority w:val="21"/>
    <w:qFormat/>
    <w:rsid w:val="00865608"/>
    <w:rPr>
      <w:i/>
      <w:iCs/>
      <w:color w:val="365F91" w:themeColor="accent1" w:themeShade="BF"/>
    </w:rPr>
  </w:style>
  <w:style w:type="paragraph" w:styleId="IntenseQuote">
    <w:name w:val="Intense Quote"/>
    <w:basedOn w:val="Normal"/>
    <w:next w:val="Normal"/>
    <w:link w:val="IntenseQuoteChar"/>
    <w:uiPriority w:val="30"/>
    <w:qFormat/>
    <w:rsid w:val="0086560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65608"/>
    <w:rPr>
      <w:i/>
      <w:iCs/>
      <w:color w:val="365F91" w:themeColor="accent1" w:themeShade="BF"/>
    </w:rPr>
  </w:style>
  <w:style w:type="character" w:styleId="IntenseReference">
    <w:name w:val="Intense Reference"/>
    <w:basedOn w:val="DefaultParagraphFont"/>
    <w:uiPriority w:val="32"/>
    <w:qFormat/>
    <w:rsid w:val="00865608"/>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8</Pages>
  <Words>2053</Words>
  <Characters>11703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Ohan Alvandyan</dc:creator>
  <cp:keywords/>
  <dc:description/>
  <cp:lastModifiedBy>Ohan Alvandyan</cp:lastModifiedBy>
  <cp:revision>22</cp:revision>
  <dcterms:created xsi:type="dcterms:W3CDTF">2026-10-05T11:29:00Z</dcterms:created>
  <dcterms:modified xsi:type="dcterms:W3CDTF">2026-10-05T13:08:00Z</dcterms:modified>
</cp:coreProperties>
</file>